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1F10" w14:textId="0A201345" w:rsidR="00690F2A" w:rsidRDefault="001A0E6E" w:rsidP="006F1A54">
      <w:pPr>
        <w:tabs>
          <w:tab w:val="left" w:pos="1575"/>
        </w:tabs>
        <w:spacing w:after="200"/>
        <w:jc w:val="center"/>
        <w:rPr>
          <w:rFonts w:ascii="Garamond" w:hAnsi="Garamond" w:cs="Noto Sans"/>
          <w:b/>
          <w:sz w:val="28"/>
          <w:szCs w:val="28"/>
          <w:lang w:val="fr-FR"/>
        </w:rPr>
      </w:pPr>
      <w:r w:rsidRPr="00FD50E0">
        <w:rPr>
          <w:rFonts w:cstheme="minorHAnsi"/>
          <w:b/>
          <w:bCs/>
          <w:i/>
          <w:iCs/>
          <w:noProof/>
          <w:sz w:val="18"/>
          <w:szCs w:val="18"/>
          <w:lang w:eastAsia="en-GB"/>
        </w:rPr>
        <w:drawing>
          <wp:anchor distT="0" distB="0" distL="114300" distR="114300" simplePos="0" relativeHeight="251662336" behindDoc="1" locked="0" layoutInCell="1" allowOverlap="1" wp14:anchorId="01313341" wp14:editId="36F53E77">
            <wp:simplePos x="0" y="0"/>
            <wp:positionH relativeFrom="margin">
              <wp:posOffset>4238625</wp:posOffset>
            </wp:positionH>
            <wp:positionV relativeFrom="topMargin">
              <wp:posOffset>914400</wp:posOffset>
            </wp:positionV>
            <wp:extent cx="1492250" cy="665480"/>
            <wp:effectExtent l="0" t="0" r="0" b="1270"/>
            <wp:wrapTight wrapText="bothSides">
              <wp:wrapPolygon edited="0">
                <wp:start x="4136" y="0"/>
                <wp:lineTo x="0" y="8656"/>
                <wp:lineTo x="0" y="12366"/>
                <wp:lineTo x="4136" y="21023"/>
                <wp:lineTo x="5791" y="21023"/>
                <wp:lineTo x="20405" y="18550"/>
                <wp:lineTo x="21232" y="17313"/>
                <wp:lineTo x="21232" y="2473"/>
                <wp:lineTo x="20129" y="1855"/>
                <wp:lineTo x="5791" y="0"/>
                <wp:lineTo x="4136" y="0"/>
              </wp:wrapPolygon>
            </wp:wrapTight>
            <wp:docPr id="1" name="Picture 1" descr="C:\Users\elfeky\Desktop\jobs and growth prep webinars March 2021\Documents for webinar\logos\ADWA' Logo, factsheet\01 Main Version\English\ADWA' Logo_ENG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feky\Desktop\jobs and growth prep webinars March 2021\Documents for webinar\logos\ADWA' Logo, factsheet\01 Main Version\English\ADWA' Logo_ENG_Ma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250" cy="665480"/>
                    </a:xfrm>
                    <a:prstGeom prst="rect">
                      <a:avLst/>
                    </a:prstGeom>
                  </pic:spPr>
                </pic:pic>
              </a:graphicData>
            </a:graphic>
            <wp14:sizeRelV relativeFrom="margin">
              <wp14:pctHeight>0</wp14:pctHeight>
            </wp14:sizeRelV>
          </wp:anchor>
        </w:drawing>
      </w:r>
      <w:r w:rsidRPr="00B068AF">
        <w:rPr>
          <w:noProof/>
          <w:lang w:eastAsia="en-GB"/>
        </w:rPr>
        <w:drawing>
          <wp:anchor distT="0" distB="0" distL="114300" distR="114300" simplePos="0" relativeHeight="251657216" behindDoc="1" locked="0" layoutInCell="1" allowOverlap="1" wp14:anchorId="0052320F" wp14:editId="24BAB7D1">
            <wp:simplePos x="0" y="0"/>
            <wp:positionH relativeFrom="column">
              <wp:posOffset>0</wp:posOffset>
            </wp:positionH>
            <wp:positionV relativeFrom="paragraph">
              <wp:posOffset>0</wp:posOffset>
            </wp:positionV>
            <wp:extent cx="1714500" cy="617855"/>
            <wp:effectExtent l="0" t="0" r="0" b="0"/>
            <wp:wrapTight wrapText="bothSides">
              <wp:wrapPolygon edited="0">
                <wp:start x="1440" y="0"/>
                <wp:lineTo x="0" y="3996"/>
                <wp:lineTo x="0" y="15984"/>
                <wp:lineTo x="1680" y="20645"/>
                <wp:lineTo x="7440" y="20645"/>
                <wp:lineTo x="21360" y="17982"/>
                <wp:lineTo x="21360" y="13320"/>
                <wp:lineTo x="16800" y="10656"/>
                <wp:lineTo x="21360" y="6660"/>
                <wp:lineTo x="21360" y="1332"/>
                <wp:lineTo x="7680" y="0"/>
                <wp:lineTo x="14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17855"/>
                    </a:xfrm>
                    <a:prstGeom prst="rect">
                      <a:avLst/>
                    </a:prstGeom>
                    <a:noFill/>
                    <a:ln>
                      <a:noFill/>
                    </a:ln>
                  </pic:spPr>
                </pic:pic>
              </a:graphicData>
            </a:graphic>
          </wp:anchor>
        </w:drawing>
      </w:r>
    </w:p>
    <w:p w14:paraId="2DDB6940" w14:textId="1AF0441B" w:rsidR="00690F2A" w:rsidRDefault="00690F2A" w:rsidP="006F1A54">
      <w:pPr>
        <w:tabs>
          <w:tab w:val="left" w:pos="1575"/>
        </w:tabs>
        <w:spacing w:after="200"/>
        <w:jc w:val="center"/>
        <w:rPr>
          <w:rFonts w:ascii="Garamond" w:hAnsi="Garamond" w:cs="Noto Sans"/>
          <w:b/>
          <w:sz w:val="28"/>
          <w:szCs w:val="28"/>
          <w:lang w:val="fr-FR"/>
        </w:rPr>
      </w:pPr>
    </w:p>
    <w:p w14:paraId="56F416AB" w14:textId="77777777" w:rsidR="001A0E6E" w:rsidRDefault="001A0E6E" w:rsidP="006F1A54">
      <w:pPr>
        <w:tabs>
          <w:tab w:val="left" w:pos="1575"/>
        </w:tabs>
        <w:spacing w:after="200"/>
        <w:jc w:val="center"/>
        <w:rPr>
          <w:rFonts w:ascii="Garamond" w:hAnsi="Garamond" w:cs="Noto Sans"/>
          <w:b/>
          <w:sz w:val="28"/>
          <w:szCs w:val="28"/>
          <w:lang w:val="fr-FR"/>
        </w:rPr>
      </w:pPr>
      <w:r>
        <w:rPr>
          <w:rFonts w:ascii="Garamond" w:hAnsi="Garamond" w:cs="Noto Sans"/>
          <w:b/>
          <w:sz w:val="28"/>
          <w:szCs w:val="28"/>
          <w:lang w:val="fr-FR"/>
        </w:rPr>
        <w:t xml:space="preserve">  </w:t>
      </w:r>
    </w:p>
    <w:p w14:paraId="14D94974" w14:textId="77777777" w:rsidR="001A0E6E" w:rsidRDefault="001A0E6E" w:rsidP="006F1A54">
      <w:pPr>
        <w:tabs>
          <w:tab w:val="left" w:pos="1575"/>
        </w:tabs>
        <w:spacing w:after="200"/>
        <w:jc w:val="center"/>
        <w:rPr>
          <w:rFonts w:ascii="Garamond" w:hAnsi="Garamond" w:cs="Noto Sans"/>
          <w:b/>
          <w:sz w:val="28"/>
          <w:szCs w:val="28"/>
          <w:lang w:val="fr-FR"/>
        </w:rPr>
      </w:pPr>
    </w:p>
    <w:p w14:paraId="7B5628BA" w14:textId="24CEEA93" w:rsidR="006F1A54" w:rsidRPr="006F1A54" w:rsidRDefault="00D43766" w:rsidP="006F1A54">
      <w:pPr>
        <w:tabs>
          <w:tab w:val="left" w:pos="1575"/>
        </w:tabs>
        <w:spacing w:after="200"/>
        <w:jc w:val="center"/>
        <w:rPr>
          <w:rFonts w:ascii="Garamond" w:hAnsi="Garamond"/>
          <w:b/>
          <w:color w:val="262626"/>
          <w:sz w:val="28"/>
          <w:szCs w:val="28"/>
          <w:lang w:val="fr-FR"/>
        </w:rPr>
      </w:pPr>
      <w:r>
        <w:rPr>
          <w:rFonts w:ascii="Garamond" w:hAnsi="Garamond" w:cs="Noto Sans"/>
          <w:b/>
          <w:sz w:val="28"/>
          <w:szCs w:val="28"/>
          <w:lang w:val="fr-FR"/>
        </w:rPr>
        <w:t>Formulation d</w:t>
      </w:r>
      <w:r w:rsidR="003232C3">
        <w:rPr>
          <w:rFonts w:ascii="Garamond" w:hAnsi="Garamond" w:cs="Noto Sans"/>
          <w:b/>
          <w:sz w:val="28"/>
          <w:szCs w:val="28"/>
          <w:lang w:val="fr-FR"/>
        </w:rPr>
        <w:t xml:space="preserve">u Plan d’Action de la </w:t>
      </w:r>
      <w:r w:rsidR="002866ED">
        <w:rPr>
          <w:rFonts w:ascii="Garamond" w:hAnsi="Garamond" w:cs="Noto Sans"/>
          <w:b/>
          <w:sz w:val="28"/>
          <w:szCs w:val="28"/>
          <w:lang w:val="fr-FR"/>
        </w:rPr>
        <w:t>Politique</w:t>
      </w:r>
      <w:r>
        <w:rPr>
          <w:rFonts w:ascii="Garamond" w:hAnsi="Garamond" w:cs="Noto Sans"/>
          <w:b/>
          <w:sz w:val="28"/>
          <w:szCs w:val="28"/>
          <w:lang w:val="fr-FR"/>
        </w:rPr>
        <w:t xml:space="preserve"> Nationale de l’Emploi </w:t>
      </w:r>
      <w:r w:rsidR="0030478D">
        <w:rPr>
          <w:rFonts w:ascii="Garamond" w:hAnsi="Garamond" w:cs="Noto Sans"/>
          <w:b/>
          <w:sz w:val="28"/>
          <w:szCs w:val="28"/>
          <w:lang w:val="fr-FR"/>
        </w:rPr>
        <w:t>et de l’Entrepreneuriat</w:t>
      </w:r>
      <w:r w:rsidR="0054685D">
        <w:rPr>
          <w:rFonts w:ascii="Garamond" w:hAnsi="Garamond" w:cs="Noto Sans"/>
          <w:b/>
          <w:sz w:val="28"/>
          <w:szCs w:val="28"/>
          <w:lang w:val="fr-FR"/>
        </w:rPr>
        <w:t xml:space="preserve"> du Maroc</w:t>
      </w:r>
      <w:r w:rsidR="0030478D">
        <w:rPr>
          <w:rFonts w:ascii="Garamond" w:hAnsi="Garamond" w:cs="Noto Sans"/>
          <w:b/>
          <w:sz w:val="28"/>
          <w:szCs w:val="28"/>
          <w:lang w:val="fr-FR"/>
        </w:rPr>
        <w:t>, PN2E</w:t>
      </w:r>
      <w:r w:rsidR="003232C3">
        <w:rPr>
          <w:rFonts w:ascii="Garamond" w:hAnsi="Garamond" w:cs="Noto Sans"/>
          <w:b/>
          <w:sz w:val="28"/>
          <w:szCs w:val="28"/>
          <w:lang w:val="fr-FR"/>
        </w:rPr>
        <w:t xml:space="preserve">, </w:t>
      </w:r>
      <w:r w:rsidR="0030478D">
        <w:rPr>
          <w:rFonts w:ascii="Garamond" w:hAnsi="Garamond" w:cs="Noto Sans"/>
          <w:b/>
          <w:sz w:val="28"/>
          <w:szCs w:val="28"/>
          <w:lang w:val="fr-FR"/>
        </w:rPr>
        <w:t>2035</w:t>
      </w:r>
      <w:r w:rsidR="0054685D">
        <w:rPr>
          <w:rFonts w:ascii="Garamond" w:hAnsi="Garamond" w:cs="Noto Sans"/>
          <w:b/>
          <w:sz w:val="28"/>
          <w:szCs w:val="28"/>
          <w:lang w:val="fr-FR"/>
        </w:rPr>
        <w:t>.</w:t>
      </w:r>
      <w:r w:rsidR="00A97167">
        <w:rPr>
          <w:rFonts w:ascii="Garamond" w:hAnsi="Garamond" w:cs="Noto Sans"/>
          <w:b/>
          <w:sz w:val="28"/>
          <w:szCs w:val="28"/>
          <w:lang w:val="fr-FR"/>
        </w:rPr>
        <w:t xml:space="preserve"> </w:t>
      </w:r>
    </w:p>
    <w:p w14:paraId="7B5628BB" w14:textId="77777777" w:rsidR="005C2186" w:rsidRPr="006F1A54" w:rsidRDefault="005C2186" w:rsidP="006F1A54">
      <w:pPr>
        <w:pStyle w:val="Paragraphedeliste"/>
        <w:ind w:left="0"/>
        <w:jc w:val="center"/>
        <w:rPr>
          <w:rFonts w:ascii="Garamond" w:hAnsi="Garamond" w:cs="Noto Sans"/>
          <w:b/>
          <w:sz w:val="28"/>
          <w:szCs w:val="28"/>
          <w:lang w:val="fr-FR"/>
        </w:rPr>
      </w:pPr>
    </w:p>
    <w:p w14:paraId="7B5628BC" w14:textId="594FE8E6" w:rsidR="00DD068E" w:rsidRDefault="00DD068E" w:rsidP="006F1A54">
      <w:pPr>
        <w:pStyle w:val="Paragraphedeliste"/>
        <w:ind w:left="0"/>
        <w:jc w:val="center"/>
        <w:rPr>
          <w:rFonts w:ascii="Garamond" w:hAnsi="Garamond" w:cs="Noto Sans"/>
          <w:b/>
          <w:sz w:val="28"/>
          <w:szCs w:val="28"/>
          <w:lang w:val="fr-FR"/>
        </w:rPr>
      </w:pPr>
      <w:r w:rsidRPr="006F1A54">
        <w:rPr>
          <w:rFonts w:ascii="Garamond" w:hAnsi="Garamond" w:cs="Noto Sans"/>
          <w:b/>
          <w:sz w:val="28"/>
          <w:szCs w:val="28"/>
          <w:lang w:val="fr-FR"/>
        </w:rPr>
        <w:t>Termes de référence</w:t>
      </w:r>
    </w:p>
    <w:p w14:paraId="5E92AD5D" w14:textId="797CF7DE" w:rsidR="000610BE" w:rsidRPr="00EC3998" w:rsidRDefault="000610BE" w:rsidP="000610BE">
      <w:pPr>
        <w:pStyle w:val="Paragraphedeliste"/>
        <w:ind w:left="0"/>
        <w:jc w:val="center"/>
        <w:rPr>
          <w:rFonts w:ascii="Times New Roman" w:hAnsi="Times New Roman" w:cs="Times New Roman"/>
          <w:b/>
          <w:color w:val="FF0000"/>
          <w:sz w:val="28"/>
          <w:szCs w:val="28"/>
          <w:lang w:val="fr-FR"/>
        </w:rPr>
      </w:pPr>
      <w:r w:rsidRPr="00EC3998">
        <w:rPr>
          <w:rFonts w:ascii="Times New Roman" w:hAnsi="Times New Roman" w:cs="Times New Roman"/>
          <w:b/>
          <w:color w:val="FF0000"/>
          <w:sz w:val="28"/>
          <w:szCs w:val="28"/>
          <w:lang w:val="fr-FR"/>
        </w:rPr>
        <w:t>Coordonnateur de</w:t>
      </w:r>
      <w:r w:rsidR="003D6D2A">
        <w:rPr>
          <w:rFonts w:ascii="Times New Roman" w:hAnsi="Times New Roman" w:cs="Times New Roman"/>
          <w:b/>
          <w:color w:val="FF0000"/>
          <w:sz w:val="28"/>
          <w:szCs w:val="28"/>
          <w:lang w:val="fr-FR"/>
        </w:rPr>
        <w:t xml:space="preserve"> l’équipe des experts n</w:t>
      </w:r>
      <w:r w:rsidRPr="00EC3998">
        <w:rPr>
          <w:rFonts w:ascii="Times New Roman" w:hAnsi="Times New Roman" w:cs="Times New Roman"/>
          <w:b/>
          <w:color w:val="FF0000"/>
          <w:sz w:val="28"/>
          <w:szCs w:val="28"/>
          <w:lang w:val="fr-FR"/>
        </w:rPr>
        <w:t xml:space="preserve">ationaux </w:t>
      </w:r>
    </w:p>
    <w:p w14:paraId="7B5628BD" w14:textId="77777777" w:rsidR="005C2186" w:rsidRPr="00D15422" w:rsidRDefault="005C2186" w:rsidP="00D15422">
      <w:pPr>
        <w:pStyle w:val="Paragraphedeliste"/>
        <w:ind w:left="0"/>
        <w:rPr>
          <w:rFonts w:ascii="Garamond" w:hAnsi="Garamond" w:cs="Noto Sans"/>
          <w:sz w:val="28"/>
          <w:szCs w:val="28"/>
          <w:lang w:val="fr-FR"/>
        </w:rPr>
      </w:pPr>
    </w:p>
    <w:p w14:paraId="6B095EB5" w14:textId="77777777" w:rsidR="00A97167" w:rsidRPr="008C0FBC" w:rsidRDefault="00A97167" w:rsidP="00A97167">
      <w:pPr>
        <w:pBdr>
          <w:bottom w:val="single" w:sz="8" w:space="1" w:color="0070C0"/>
        </w:pBdr>
        <w:autoSpaceDE w:val="0"/>
        <w:autoSpaceDN w:val="0"/>
        <w:adjustRightInd w:val="0"/>
        <w:rPr>
          <w:rFonts w:ascii="Garamond" w:hAnsi="Garamond" w:cs="Arial"/>
          <w:b/>
          <w:bCs/>
          <w:color w:val="7030A0"/>
          <w:sz w:val="24"/>
          <w:szCs w:val="24"/>
          <w:lang w:val="fr-CH"/>
        </w:rPr>
      </w:pPr>
      <w:bookmarkStart w:id="0" w:name="_Hlk99093682"/>
      <w:r w:rsidRPr="008C0FBC">
        <w:rPr>
          <w:rFonts w:ascii="Garamond" w:hAnsi="Garamond" w:cs="Arial"/>
          <w:b/>
          <w:bCs/>
          <w:color w:val="7030A0"/>
          <w:sz w:val="24"/>
          <w:szCs w:val="24"/>
          <w:lang w:val="fr-CH"/>
        </w:rPr>
        <w:t>I : Contexte</w:t>
      </w:r>
    </w:p>
    <w:p w14:paraId="61832B48" w14:textId="77777777" w:rsidR="00A97167" w:rsidRPr="005D6878" w:rsidRDefault="00A97167" w:rsidP="00A97167">
      <w:pPr>
        <w:autoSpaceDE w:val="0"/>
        <w:autoSpaceDN w:val="0"/>
        <w:adjustRightInd w:val="0"/>
        <w:jc w:val="both"/>
        <w:rPr>
          <w:rFonts w:ascii="Garamond" w:hAnsi="Garamond" w:cs="Arial"/>
          <w:b/>
          <w:color w:val="0D0D0D" w:themeColor="text1" w:themeTint="F2"/>
          <w:sz w:val="24"/>
          <w:szCs w:val="24"/>
          <w:lang w:val="fr-CH"/>
        </w:rPr>
      </w:pPr>
    </w:p>
    <w:p w14:paraId="002047CB" w14:textId="77777777" w:rsidR="00A97167" w:rsidRPr="005D6878" w:rsidRDefault="00A97167" w:rsidP="00A97167">
      <w:pPr>
        <w:pStyle w:val="Paragraphedeliste"/>
        <w:tabs>
          <w:tab w:val="left" w:pos="1134"/>
        </w:tabs>
        <w:ind w:left="0"/>
        <w:jc w:val="both"/>
        <w:rPr>
          <w:rFonts w:ascii="Garamond" w:hAnsi="Garamond" w:cs="Noto Sans"/>
          <w:sz w:val="24"/>
          <w:szCs w:val="24"/>
          <w:lang w:val="fr-CH"/>
        </w:rPr>
      </w:pPr>
    </w:p>
    <w:p w14:paraId="299C442B" w14:textId="31151336" w:rsidR="00A97167" w:rsidRPr="008A4696" w:rsidRDefault="00A97167" w:rsidP="00A97167">
      <w:pPr>
        <w:jc w:val="both"/>
        <w:rPr>
          <w:rFonts w:ascii="Garamond" w:hAnsi="Garamond"/>
          <w:sz w:val="24"/>
          <w:szCs w:val="24"/>
          <w:lang w:val="fr-CH"/>
        </w:rPr>
      </w:pPr>
      <w:bookmarkStart w:id="1" w:name="_Hlk134711713"/>
      <w:r w:rsidRPr="008A4696">
        <w:rPr>
          <w:rFonts w:ascii="Garamond" w:hAnsi="Garamond"/>
          <w:bCs/>
          <w:color w:val="0D0D0D" w:themeColor="text1" w:themeTint="F2"/>
          <w:sz w:val="24"/>
          <w:szCs w:val="24"/>
          <w:lang w:val="fr-FR"/>
        </w:rPr>
        <w:t xml:space="preserve">Près de 6 ans après l’adoption de la </w:t>
      </w:r>
      <w:r w:rsidR="003232C3">
        <w:rPr>
          <w:rFonts w:ascii="Garamond" w:hAnsi="Garamond"/>
          <w:bCs/>
          <w:color w:val="0D0D0D" w:themeColor="text1" w:themeTint="F2"/>
          <w:sz w:val="24"/>
          <w:szCs w:val="24"/>
          <w:lang w:val="fr-FR"/>
        </w:rPr>
        <w:t>stratégie nationale de l’emploi</w:t>
      </w:r>
      <w:r w:rsidR="00002B36">
        <w:rPr>
          <w:rFonts w:ascii="Garamond" w:hAnsi="Garamond"/>
          <w:bCs/>
          <w:color w:val="0D0D0D" w:themeColor="text1" w:themeTint="F2"/>
          <w:sz w:val="24"/>
          <w:szCs w:val="24"/>
          <w:lang w:val="fr-FR"/>
        </w:rPr>
        <w:t xml:space="preserve">, </w:t>
      </w:r>
      <w:r w:rsidRPr="008A4696">
        <w:rPr>
          <w:rFonts w:ascii="Garamond" w:hAnsi="Garamond"/>
          <w:bCs/>
          <w:color w:val="0D0D0D" w:themeColor="text1" w:themeTint="F2"/>
          <w:sz w:val="24"/>
          <w:szCs w:val="24"/>
          <w:lang w:val="fr-FR"/>
        </w:rPr>
        <w:t>SNE</w:t>
      </w:r>
      <w:r w:rsidR="00002B36">
        <w:rPr>
          <w:rFonts w:ascii="Garamond" w:hAnsi="Garamond"/>
          <w:bCs/>
          <w:color w:val="0D0D0D" w:themeColor="text1" w:themeTint="F2"/>
          <w:sz w:val="24"/>
          <w:szCs w:val="24"/>
          <w:lang w:val="fr-FR"/>
        </w:rPr>
        <w:t xml:space="preserve"> 2015-25</w:t>
      </w:r>
      <w:r w:rsidRPr="008A4696">
        <w:rPr>
          <w:rFonts w:ascii="Garamond" w:hAnsi="Garamond"/>
          <w:bCs/>
          <w:color w:val="0D0D0D" w:themeColor="text1" w:themeTint="F2"/>
          <w:sz w:val="24"/>
          <w:szCs w:val="24"/>
          <w:lang w:val="fr-FR"/>
        </w:rPr>
        <w:t xml:space="preserve">, le ministère de l’Inclusion Économique, de la Petite Entreprise, de l’Emploi et des Compétences (MIEPEEC) a engagé un bilan à mi-parcours de la SNE </w:t>
      </w:r>
      <w:r w:rsidR="000610BE">
        <w:rPr>
          <w:rFonts w:ascii="Garamond" w:hAnsi="Garamond"/>
          <w:bCs/>
          <w:color w:val="0D0D0D" w:themeColor="text1" w:themeTint="F2"/>
          <w:sz w:val="24"/>
          <w:szCs w:val="24"/>
          <w:lang w:val="fr-FR"/>
        </w:rPr>
        <w:t xml:space="preserve">et son plan de mise en œuvre, PNPE, </w:t>
      </w:r>
      <w:r w:rsidRPr="008A4696">
        <w:rPr>
          <w:rFonts w:ascii="Garamond" w:hAnsi="Garamond"/>
          <w:bCs/>
          <w:color w:val="0D0D0D" w:themeColor="text1" w:themeTint="F2"/>
          <w:sz w:val="24"/>
          <w:szCs w:val="24"/>
          <w:lang w:val="fr-FR"/>
        </w:rPr>
        <w:t>avec un focus sur les aspects ‘’Genre’’ et ‘’emplois verts’’ afin d’identifier les enseignements tirés de ce processus ainsi que des recommandations visant à améliorer l’impact, la pertinence, l’appropriation et l’efficacité de la SNE</w:t>
      </w:r>
      <w:r w:rsidR="000610BE">
        <w:rPr>
          <w:rFonts w:ascii="Garamond" w:hAnsi="Garamond"/>
          <w:bCs/>
          <w:color w:val="0D0D0D" w:themeColor="text1" w:themeTint="F2"/>
          <w:sz w:val="24"/>
          <w:szCs w:val="24"/>
          <w:lang w:val="fr-FR"/>
        </w:rPr>
        <w:t>/</w:t>
      </w:r>
      <w:r w:rsidRPr="008A4696">
        <w:rPr>
          <w:rFonts w:ascii="Garamond" w:hAnsi="Garamond"/>
          <w:bCs/>
          <w:color w:val="0D0D0D" w:themeColor="text1" w:themeTint="F2"/>
          <w:sz w:val="24"/>
          <w:szCs w:val="24"/>
          <w:lang w:val="fr-FR"/>
        </w:rPr>
        <w:t>PNPE, y compris dans le contexte de la crise du COVID-19</w:t>
      </w:r>
      <w:r w:rsidRPr="008A4696">
        <w:rPr>
          <w:rFonts w:ascii="Garamond" w:hAnsi="Garamond"/>
          <w:sz w:val="24"/>
          <w:szCs w:val="24"/>
          <w:lang w:val="fr-CH"/>
        </w:rPr>
        <w:t xml:space="preserve">. </w:t>
      </w:r>
    </w:p>
    <w:p w14:paraId="6AEFF69E" w14:textId="77777777" w:rsidR="00A97167" w:rsidRPr="008A4696" w:rsidRDefault="00A97167" w:rsidP="00A97167">
      <w:pPr>
        <w:jc w:val="both"/>
        <w:rPr>
          <w:rFonts w:ascii="Garamond" w:hAnsi="Garamond"/>
          <w:sz w:val="24"/>
          <w:szCs w:val="24"/>
          <w:lang w:val="fr-CH"/>
        </w:rPr>
      </w:pPr>
    </w:p>
    <w:p w14:paraId="12D4F2CD" w14:textId="609F11B8" w:rsidR="00A97167" w:rsidRPr="008A4696" w:rsidRDefault="00A97167" w:rsidP="00A97167">
      <w:pPr>
        <w:jc w:val="both"/>
        <w:rPr>
          <w:rFonts w:ascii="Garamond" w:hAnsi="Garamond"/>
          <w:bCs/>
          <w:color w:val="0D0D0D" w:themeColor="text1" w:themeTint="F2"/>
          <w:sz w:val="24"/>
          <w:szCs w:val="24"/>
          <w:lang w:val="fr-FR"/>
        </w:rPr>
      </w:pPr>
      <w:r w:rsidRPr="008A4696">
        <w:rPr>
          <w:rFonts w:ascii="Garamond" w:hAnsi="Garamond"/>
          <w:bCs/>
          <w:color w:val="0D0D0D" w:themeColor="text1" w:themeTint="F2"/>
          <w:sz w:val="24"/>
          <w:szCs w:val="24"/>
          <w:lang w:val="fr-CH"/>
        </w:rPr>
        <w:t xml:space="preserve">Suite à cette évaluation à mi-parcours, </w:t>
      </w:r>
      <w:r w:rsidRPr="008A4696">
        <w:rPr>
          <w:rFonts w:ascii="Garamond" w:hAnsi="Garamond"/>
          <w:bCs/>
          <w:color w:val="0D0D0D" w:themeColor="text1" w:themeTint="F2"/>
          <w:sz w:val="24"/>
          <w:szCs w:val="24"/>
          <w:lang w:val="fr-FR"/>
        </w:rPr>
        <w:t xml:space="preserve">le </w:t>
      </w:r>
      <w:r w:rsidR="00610050">
        <w:rPr>
          <w:rFonts w:ascii="Garamond" w:hAnsi="Garamond"/>
          <w:bCs/>
          <w:color w:val="0D0D0D" w:themeColor="text1" w:themeTint="F2"/>
          <w:sz w:val="24"/>
          <w:szCs w:val="24"/>
          <w:lang w:val="fr-FR"/>
        </w:rPr>
        <w:t xml:space="preserve">BIT a appuyé le </w:t>
      </w:r>
      <w:r w:rsidRPr="008A4696">
        <w:rPr>
          <w:rFonts w:ascii="Garamond" w:hAnsi="Garamond"/>
          <w:bCs/>
          <w:color w:val="0D0D0D" w:themeColor="text1" w:themeTint="F2"/>
          <w:sz w:val="24"/>
          <w:szCs w:val="24"/>
          <w:lang w:val="fr-FR"/>
        </w:rPr>
        <w:t xml:space="preserve">MIEPEEC pour engager la formulation d’une nouvelle Politique d’emploi </w:t>
      </w:r>
      <w:r w:rsidR="00610050">
        <w:rPr>
          <w:rFonts w:ascii="Garamond" w:hAnsi="Garamond"/>
          <w:bCs/>
          <w:color w:val="0D0D0D" w:themeColor="text1" w:themeTint="F2"/>
          <w:sz w:val="24"/>
          <w:szCs w:val="24"/>
          <w:lang w:val="fr-FR"/>
        </w:rPr>
        <w:t>et de l’entreprenariat (PN2E</w:t>
      </w:r>
      <w:r w:rsidR="000610BE">
        <w:rPr>
          <w:rFonts w:ascii="Garamond" w:hAnsi="Garamond"/>
          <w:bCs/>
          <w:color w:val="0D0D0D" w:themeColor="text1" w:themeTint="F2"/>
          <w:sz w:val="24"/>
          <w:szCs w:val="24"/>
          <w:lang w:val="fr-FR"/>
        </w:rPr>
        <w:t xml:space="preserve"> </w:t>
      </w:r>
      <w:r w:rsidR="00610050">
        <w:rPr>
          <w:rFonts w:ascii="Garamond" w:hAnsi="Garamond"/>
          <w:bCs/>
          <w:color w:val="0D0D0D" w:themeColor="text1" w:themeTint="F2"/>
          <w:sz w:val="24"/>
          <w:szCs w:val="24"/>
          <w:lang w:val="fr-FR"/>
        </w:rPr>
        <w:t xml:space="preserve"> </w:t>
      </w:r>
      <w:r w:rsidR="00B709B8">
        <w:rPr>
          <w:rFonts w:ascii="Garamond" w:hAnsi="Garamond"/>
          <w:bCs/>
          <w:color w:val="0D0D0D" w:themeColor="text1" w:themeTint="F2"/>
          <w:sz w:val="24"/>
          <w:szCs w:val="24"/>
          <w:lang w:val="fr-FR"/>
        </w:rPr>
        <w:t>2035</w:t>
      </w:r>
      <w:r w:rsidR="000610BE">
        <w:rPr>
          <w:rFonts w:ascii="Garamond" w:hAnsi="Garamond"/>
          <w:bCs/>
          <w:color w:val="0D0D0D" w:themeColor="text1" w:themeTint="F2"/>
          <w:sz w:val="24"/>
          <w:szCs w:val="24"/>
          <w:lang w:val="fr-FR"/>
        </w:rPr>
        <w:t xml:space="preserve"> )</w:t>
      </w:r>
      <w:r w:rsidR="00B709B8">
        <w:rPr>
          <w:rFonts w:ascii="Garamond" w:hAnsi="Garamond"/>
          <w:bCs/>
          <w:color w:val="0D0D0D" w:themeColor="text1" w:themeTint="F2"/>
          <w:sz w:val="24"/>
          <w:szCs w:val="24"/>
          <w:lang w:val="fr-FR"/>
        </w:rPr>
        <w:t xml:space="preserve"> </w:t>
      </w:r>
      <w:r w:rsidRPr="008A4696">
        <w:rPr>
          <w:rFonts w:ascii="Garamond" w:hAnsi="Garamond"/>
          <w:bCs/>
          <w:color w:val="0D0D0D" w:themeColor="text1" w:themeTint="F2"/>
          <w:sz w:val="24"/>
          <w:szCs w:val="24"/>
          <w:lang w:val="fr-FR"/>
        </w:rPr>
        <w:t xml:space="preserve">alignée sur les priorités et orientations du Nouveau Modèle de Développement </w:t>
      </w:r>
      <w:r w:rsidR="00002B36">
        <w:rPr>
          <w:rFonts w:ascii="Garamond" w:hAnsi="Garamond"/>
          <w:bCs/>
          <w:color w:val="0D0D0D" w:themeColor="text1" w:themeTint="F2"/>
          <w:sz w:val="24"/>
          <w:szCs w:val="24"/>
          <w:lang w:val="fr-FR"/>
        </w:rPr>
        <w:t xml:space="preserve">2035 </w:t>
      </w:r>
      <w:r w:rsidRPr="008A4696">
        <w:rPr>
          <w:rFonts w:ascii="Garamond" w:hAnsi="Garamond"/>
          <w:bCs/>
          <w:color w:val="0D0D0D" w:themeColor="text1" w:themeTint="F2"/>
          <w:sz w:val="24"/>
          <w:szCs w:val="24"/>
          <w:lang w:val="fr-FR"/>
        </w:rPr>
        <w:t>et du Programme Gouvernemental 2022-2026 et visant à renforcer la résilience du marché du travail à des chocs extérieurs tels que le COVID, tout en répondant aux enjeux liés à l’avenir du travail, tels que la migration, l’emploi des femmes et les emplois verts.</w:t>
      </w:r>
    </w:p>
    <w:p w14:paraId="0E736F6D" w14:textId="77777777" w:rsidR="00A97167" w:rsidRPr="008A4696" w:rsidRDefault="00A97167" w:rsidP="00A97167">
      <w:pPr>
        <w:jc w:val="both"/>
        <w:rPr>
          <w:rFonts w:ascii="Garamond" w:hAnsi="Garamond"/>
          <w:bCs/>
          <w:color w:val="0D0D0D" w:themeColor="text1" w:themeTint="F2"/>
          <w:sz w:val="24"/>
          <w:szCs w:val="24"/>
          <w:lang w:val="fr-FR"/>
        </w:rPr>
      </w:pPr>
    </w:p>
    <w:p w14:paraId="7D8670FA" w14:textId="7FCFFA12" w:rsidR="00A97167" w:rsidRPr="008A4696" w:rsidRDefault="00610050" w:rsidP="00A97167">
      <w:pPr>
        <w:jc w:val="both"/>
        <w:rPr>
          <w:rFonts w:ascii="Garamond" w:hAnsi="Garamond" w:cs="Noto Sans"/>
          <w:bCs/>
          <w:sz w:val="24"/>
          <w:szCs w:val="24"/>
          <w:lang w:val="fr-CH"/>
        </w:rPr>
      </w:pPr>
      <w:r>
        <w:rPr>
          <w:rFonts w:ascii="Garamond" w:hAnsi="Garamond" w:cs="Noto Sans"/>
          <w:bCs/>
          <w:sz w:val="24"/>
          <w:szCs w:val="24"/>
          <w:lang w:val="fr-CH"/>
        </w:rPr>
        <w:t>La</w:t>
      </w:r>
      <w:r w:rsidR="00A97167" w:rsidRPr="008A4696">
        <w:rPr>
          <w:rFonts w:ascii="Garamond" w:hAnsi="Garamond" w:cs="Noto Sans"/>
          <w:bCs/>
          <w:sz w:val="24"/>
          <w:szCs w:val="24"/>
          <w:lang w:val="fr-CH"/>
        </w:rPr>
        <w:t xml:space="preserve"> formulation de la PN</w:t>
      </w:r>
      <w:r>
        <w:rPr>
          <w:rFonts w:ascii="Garamond" w:hAnsi="Garamond" w:cs="Noto Sans"/>
          <w:bCs/>
          <w:sz w:val="24"/>
          <w:szCs w:val="24"/>
          <w:lang w:val="fr-CH"/>
        </w:rPr>
        <w:t>2</w:t>
      </w:r>
      <w:r w:rsidR="00A97167" w:rsidRPr="008A4696">
        <w:rPr>
          <w:rFonts w:ascii="Garamond" w:hAnsi="Garamond" w:cs="Noto Sans"/>
          <w:bCs/>
          <w:sz w:val="24"/>
          <w:szCs w:val="24"/>
          <w:lang w:val="fr-CH"/>
        </w:rPr>
        <w:t xml:space="preserve">E 35 </w:t>
      </w:r>
      <w:r>
        <w:rPr>
          <w:rFonts w:ascii="Garamond" w:hAnsi="Garamond" w:cs="Noto Sans"/>
          <w:bCs/>
          <w:sz w:val="24"/>
          <w:szCs w:val="24"/>
          <w:lang w:val="fr-CH"/>
        </w:rPr>
        <w:t>s’est inscrite</w:t>
      </w:r>
      <w:r w:rsidR="00A97167" w:rsidRPr="008A4696">
        <w:rPr>
          <w:rFonts w:ascii="Garamond" w:hAnsi="Garamond" w:cs="Noto Sans"/>
          <w:bCs/>
          <w:sz w:val="24"/>
          <w:szCs w:val="24"/>
          <w:lang w:val="fr-CH"/>
        </w:rPr>
        <w:t xml:space="preserve"> dans la continuité de la démarche participative et inclusive engagée pour la formulation de la SNE 2015 - pour lesquels un grand nombre de départements ministériels et d’acteurs ont été associés, notamment à travers des consultations bilatérales</w:t>
      </w:r>
      <w:r w:rsidR="00B869B1">
        <w:rPr>
          <w:rFonts w:ascii="Garamond" w:hAnsi="Garamond" w:cs="Noto Sans"/>
          <w:bCs/>
          <w:sz w:val="24"/>
          <w:szCs w:val="24"/>
          <w:lang w:val="fr-CH"/>
        </w:rPr>
        <w:t xml:space="preserve"> </w:t>
      </w:r>
      <w:r w:rsidR="00A97167" w:rsidRPr="008A4696">
        <w:rPr>
          <w:rFonts w:ascii="Garamond" w:hAnsi="Garamond" w:cs="Noto Sans"/>
          <w:bCs/>
          <w:sz w:val="24"/>
          <w:szCs w:val="24"/>
          <w:lang w:val="fr-CH"/>
        </w:rPr>
        <w:t>et la mise en place de groupes thématiques.</w:t>
      </w:r>
      <w:r w:rsidR="00FE02C4">
        <w:rPr>
          <w:rFonts w:ascii="Garamond" w:hAnsi="Garamond" w:cs="Noto Sans"/>
          <w:bCs/>
          <w:sz w:val="24"/>
          <w:szCs w:val="24"/>
          <w:lang w:val="fr-CH"/>
        </w:rPr>
        <w:t xml:space="preserve"> </w:t>
      </w:r>
      <w:r w:rsidR="003F7EEF">
        <w:rPr>
          <w:rFonts w:ascii="Garamond" w:hAnsi="Garamond" w:cs="Noto Sans"/>
          <w:bCs/>
          <w:sz w:val="24"/>
          <w:szCs w:val="24"/>
          <w:lang w:val="fr-CH"/>
        </w:rPr>
        <w:t xml:space="preserve">Le </w:t>
      </w:r>
      <w:r w:rsidR="00FE02C4">
        <w:rPr>
          <w:rFonts w:ascii="Garamond" w:hAnsi="Garamond" w:cs="Noto Sans"/>
          <w:bCs/>
          <w:sz w:val="24"/>
          <w:szCs w:val="24"/>
          <w:lang w:val="fr-CH"/>
        </w:rPr>
        <w:t xml:space="preserve">plan d’action </w:t>
      </w:r>
      <w:r w:rsidR="00B869B1">
        <w:rPr>
          <w:rFonts w:ascii="Garamond" w:hAnsi="Garamond" w:cs="Noto Sans"/>
          <w:bCs/>
          <w:sz w:val="24"/>
          <w:szCs w:val="24"/>
          <w:lang w:val="fr-CH"/>
        </w:rPr>
        <w:t xml:space="preserve">de cette PN2E 35 </w:t>
      </w:r>
      <w:r w:rsidR="00FE02C4">
        <w:rPr>
          <w:rFonts w:ascii="Garamond" w:hAnsi="Garamond" w:cs="Noto Sans"/>
          <w:bCs/>
          <w:sz w:val="24"/>
          <w:szCs w:val="24"/>
          <w:lang w:val="fr-CH"/>
        </w:rPr>
        <w:t>sera formulé sur l</w:t>
      </w:r>
      <w:r w:rsidR="00B869B1">
        <w:rPr>
          <w:rFonts w:ascii="Garamond" w:hAnsi="Garamond" w:cs="Noto Sans"/>
          <w:bCs/>
          <w:sz w:val="24"/>
          <w:szCs w:val="24"/>
          <w:lang w:val="fr-CH"/>
        </w:rPr>
        <w:t>e</w:t>
      </w:r>
      <w:r w:rsidR="00FE02C4">
        <w:rPr>
          <w:rFonts w:ascii="Garamond" w:hAnsi="Garamond" w:cs="Noto Sans"/>
          <w:bCs/>
          <w:sz w:val="24"/>
          <w:szCs w:val="24"/>
          <w:lang w:val="fr-CH"/>
        </w:rPr>
        <w:t xml:space="preserve"> même </w:t>
      </w:r>
      <w:r w:rsidR="003F7EEF">
        <w:rPr>
          <w:rFonts w:ascii="Garamond" w:hAnsi="Garamond" w:cs="Noto Sans"/>
          <w:bCs/>
          <w:sz w:val="24"/>
          <w:szCs w:val="24"/>
          <w:lang w:val="fr-CH"/>
        </w:rPr>
        <w:t>principe</w:t>
      </w:r>
      <w:r w:rsidR="00FE02C4">
        <w:rPr>
          <w:rFonts w:ascii="Garamond" w:hAnsi="Garamond" w:cs="Noto Sans"/>
          <w:bCs/>
          <w:sz w:val="24"/>
          <w:szCs w:val="24"/>
          <w:lang w:val="fr-CH"/>
        </w:rPr>
        <w:t xml:space="preserve"> participati</w:t>
      </w:r>
      <w:r w:rsidR="003F7EEF">
        <w:rPr>
          <w:rFonts w:ascii="Garamond" w:hAnsi="Garamond" w:cs="Noto Sans"/>
          <w:bCs/>
          <w:sz w:val="24"/>
          <w:szCs w:val="24"/>
          <w:lang w:val="fr-CH"/>
        </w:rPr>
        <w:t>f</w:t>
      </w:r>
      <w:r w:rsidR="00FE02C4">
        <w:rPr>
          <w:rFonts w:ascii="Garamond" w:hAnsi="Garamond" w:cs="Noto Sans"/>
          <w:bCs/>
          <w:sz w:val="24"/>
          <w:szCs w:val="24"/>
          <w:lang w:val="fr-CH"/>
        </w:rPr>
        <w:t>.</w:t>
      </w:r>
    </w:p>
    <w:p w14:paraId="2E15EF2C" w14:textId="77777777" w:rsidR="003232C3" w:rsidRDefault="003232C3" w:rsidP="00A97167">
      <w:pPr>
        <w:pBdr>
          <w:bottom w:val="single" w:sz="8" w:space="1" w:color="0070C0"/>
        </w:pBdr>
        <w:autoSpaceDE w:val="0"/>
        <w:autoSpaceDN w:val="0"/>
        <w:adjustRightInd w:val="0"/>
        <w:rPr>
          <w:rFonts w:ascii="Garamond" w:hAnsi="Garamond" w:cs="Arial"/>
          <w:b/>
          <w:bCs/>
          <w:color w:val="7030A0"/>
          <w:sz w:val="24"/>
          <w:szCs w:val="24"/>
          <w:lang w:val="fr-CH"/>
        </w:rPr>
      </w:pPr>
    </w:p>
    <w:p w14:paraId="5637465C" w14:textId="6A8FEA21" w:rsidR="00A97167" w:rsidRPr="008C0FBC" w:rsidRDefault="00A97167" w:rsidP="00A97167">
      <w:pPr>
        <w:pBdr>
          <w:bottom w:val="single" w:sz="8" w:space="1" w:color="0070C0"/>
        </w:pBdr>
        <w:autoSpaceDE w:val="0"/>
        <w:autoSpaceDN w:val="0"/>
        <w:adjustRightInd w:val="0"/>
        <w:rPr>
          <w:rFonts w:ascii="Garamond" w:hAnsi="Garamond" w:cs="Arial"/>
          <w:b/>
          <w:bCs/>
          <w:color w:val="7030A0"/>
          <w:sz w:val="24"/>
          <w:szCs w:val="24"/>
          <w:lang w:val="fr-CH"/>
        </w:rPr>
      </w:pPr>
      <w:r w:rsidRPr="008C0FBC">
        <w:rPr>
          <w:rFonts w:ascii="Garamond" w:hAnsi="Garamond" w:cs="Arial"/>
          <w:b/>
          <w:bCs/>
          <w:color w:val="7030A0"/>
          <w:sz w:val="24"/>
          <w:szCs w:val="24"/>
          <w:lang w:val="fr-CH"/>
        </w:rPr>
        <w:t xml:space="preserve">II. </w:t>
      </w:r>
      <w:r>
        <w:rPr>
          <w:rFonts w:ascii="Garamond" w:hAnsi="Garamond" w:cs="Arial"/>
          <w:b/>
          <w:bCs/>
          <w:color w:val="7030A0"/>
          <w:sz w:val="24"/>
          <w:szCs w:val="24"/>
          <w:lang w:val="fr-CH"/>
        </w:rPr>
        <w:t xml:space="preserve">Assistance </w:t>
      </w:r>
      <w:r w:rsidRPr="008C0FBC">
        <w:rPr>
          <w:rFonts w:ascii="Garamond" w:hAnsi="Garamond" w:cs="Arial"/>
          <w:b/>
          <w:bCs/>
          <w:color w:val="7030A0"/>
          <w:sz w:val="24"/>
          <w:szCs w:val="24"/>
          <w:lang w:val="fr-CH"/>
        </w:rPr>
        <w:t>technique du BIT</w:t>
      </w:r>
      <w:r>
        <w:rPr>
          <w:rFonts w:ascii="Garamond" w:hAnsi="Garamond" w:cs="Arial"/>
          <w:b/>
          <w:bCs/>
          <w:color w:val="7030A0"/>
          <w:sz w:val="24"/>
          <w:szCs w:val="24"/>
          <w:lang w:val="fr-CH"/>
        </w:rPr>
        <w:t xml:space="preserve"> </w:t>
      </w:r>
      <w:r w:rsidRPr="008C0FBC">
        <w:rPr>
          <w:rFonts w:ascii="Garamond" w:hAnsi="Garamond" w:cs="Arial"/>
          <w:b/>
          <w:bCs/>
          <w:color w:val="7030A0"/>
          <w:sz w:val="24"/>
          <w:szCs w:val="24"/>
          <w:lang w:val="fr-CH"/>
        </w:rPr>
        <w:t xml:space="preserve">: </w:t>
      </w:r>
    </w:p>
    <w:p w14:paraId="2582410D" w14:textId="019C03A3" w:rsidR="00A97167" w:rsidRPr="003B7F63" w:rsidRDefault="00A97167" w:rsidP="00A97167">
      <w:pPr>
        <w:autoSpaceDE w:val="0"/>
        <w:autoSpaceDN w:val="0"/>
        <w:adjustRightInd w:val="0"/>
        <w:jc w:val="both"/>
        <w:rPr>
          <w:rFonts w:ascii="Garamond" w:hAnsi="Garamond" w:cs="Arial"/>
          <w:color w:val="0D0D0D" w:themeColor="text1" w:themeTint="F2"/>
          <w:sz w:val="24"/>
          <w:szCs w:val="24"/>
          <w:u w:val="single"/>
          <w:lang w:val="fr-CH"/>
        </w:rPr>
      </w:pPr>
    </w:p>
    <w:p w14:paraId="110661B3" w14:textId="64D3D4CE" w:rsidR="00A97167" w:rsidRDefault="00A97167" w:rsidP="00A97167">
      <w:pPr>
        <w:autoSpaceDE w:val="0"/>
        <w:autoSpaceDN w:val="0"/>
        <w:adjustRightInd w:val="0"/>
        <w:jc w:val="both"/>
        <w:rPr>
          <w:rFonts w:ascii="Garamond" w:eastAsia="Calibri" w:hAnsi="Garamond" w:cs="Times New Roman"/>
          <w:color w:val="000000"/>
          <w:sz w:val="24"/>
          <w:szCs w:val="24"/>
          <w:lang w:val="fr-FR"/>
        </w:rPr>
      </w:pPr>
      <w:r>
        <w:rPr>
          <w:rFonts w:ascii="Garamond" w:hAnsi="Garamond" w:cs="Arial"/>
          <w:color w:val="0D0D0D" w:themeColor="text1" w:themeTint="F2"/>
          <w:sz w:val="24"/>
          <w:szCs w:val="24"/>
          <w:lang w:val="fr-CH"/>
        </w:rPr>
        <w:t xml:space="preserve">L’objectif global de l’assistance technique du BIT consiste à appuyer le MIEPECC dans la formulation </w:t>
      </w:r>
      <w:r w:rsidR="00C61F88">
        <w:rPr>
          <w:rFonts w:ascii="Garamond" w:hAnsi="Garamond" w:cs="Arial"/>
          <w:color w:val="0D0D0D" w:themeColor="text1" w:themeTint="F2"/>
          <w:sz w:val="24"/>
          <w:szCs w:val="24"/>
          <w:lang w:val="fr-CH"/>
        </w:rPr>
        <w:t>d’un plan d’action pour la mise en œuvre de la PN2E</w:t>
      </w:r>
      <w:r>
        <w:rPr>
          <w:rFonts w:ascii="Garamond" w:hAnsi="Garamond" w:cs="Arial"/>
          <w:color w:val="0D0D0D" w:themeColor="text1" w:themeTint="F2"/>
          <w:sz w:val="24"/>
          <w:szCs w:val="24"/>
          <w:lang w:val="fr-CH"/>
        </w:rPr>
        <w:t xml:space="preserve">. Plus particulièrement, il s’agira de : </w:t>
      </w:r>
    </w:p>
    <w:p w14:paraId="3CDEB890" w14:textId="77777777" w:rsidR="00A97167" w:rsidRPr="00852C46" w:rsidRDefault="00A97167" w:rsidP="00A97167">
      <w:pPr>
        <w:autoSpaceDE w:val="0"/>
        <w:autoSpaceDN w:val="0"/>
        <w:adjustRightInd w:val="0"/>
        <w:jc w:val="both"/>
        <w:rPr>
          <w:rFonts w:ascii="Garamond" w:eastAsia="Calibri" w:hAnsi="Garamond" w:cs="Times New Roman"/>
          <w:color w:val="000000"/>
          <w:sz w:val="24"/>
          <w:szCs w:val="24"/>
          <w:lang w:val="fr-FR"/>
        </w:rPr>
      </w:pPr>
    </w:p>
    <w:p w14:paraId="475B506B" w14:textId="4050AE7D" w:rsidR="00A97167" w:rsidRDefault="00A97167" w:rsidP="00A97167">
      <w:pPr>
        <w:pStyle w:val="Paragraphedeliste"/>
        <w:numPr>
          <w:ilvl w:val="0"/>
          <w:numId w:val="3"/>
        </w:numPr>
        <w:autoSpaceDE w:val="0"/>
        <w:autoSpaceDN w:val="0"/>
        <w:adjustRightInd w:val="0"/>
        <w:jc w:val="both"/>
        <w:rPr>
          <w:rFonts w:ascii="Garamond" w:eastAsia="Calibri" w:hAnsi="Garamond" w:cs="Times New Roman"/>
          <w:color w:val="000000"/>
          <w:sz w:val="24"/>
          <w:szCs w:val="24"/>
          <w:lang w:val="fr-FR"/>
        </w:rPr>
      </w:pPr>
      <w:r w:rsidRPr="002E0A80">
        <w:rPr>
          <w:rFonts w:ascii="Garamond" w:eastAsia="Calibri" w:hAnsi="Garamond" w:cs="Times New Roman"/>
          <w:b/>
          <w:bCs/>
          <w:color w:val="000000"/>
          <w:sz w:val="24"/>
          <w:szCs w:val="24"/>
          <w:lang w:val="fr-FR"/>
        </w:rPr>
        <w:t xml:space="preserve">Elaborer la méthodologie de formulation </w:t>
      </w:r>
      <w:r w:rsidR="008A4696">
        <w:rPr>
          <w:rFonts w:ascii="Garamond" w:eastAsia="Calibri" w:hAnsi="Garamond" w:cs="Times New Roman"/>
          <w:b/>
          <w:bCs/>
          <w:color w:val="000000"/>
          <w:sz w:val="24"/>
          <w:szCs w:val="24"/>
          <w:lang w:val="fr-FR"/>
        </w:rPr>
        <w:t>du plan d’action de la PN2E</w:t>
      </w:r>
      <w:r w:rsidR="00B709B8">
        <w:rPr>
          <w:rFonts w:ascii="Garamond" w:eastAsia="Calibri" w:hAnsi="Garamond" w:cs="Times New Roman"/>
          <w:b/>
          <w:bCs/>
          <w:color w:val="000000"/>
          <w:sz w:val="24"/>
          <w:szCs w:val="24"/>
          <w:lang w:val="fr-FR"/>
        </w:rPr>
        <w:t xml:space="preserve"> 35</w:t>
      </w:r>
      <w:r w:rsidRPr="002E0A80">
        <w:rPr>
          <w:rFonts w:ascii="Garamond" w:eastAsia="Calibri" w:hAnsi="Garamond" w:cs="Times New Roman"/>
          <w:color w:val="000000"/>
          <w:sz w:val="24"/>
          <w:szCs w:val="24"/>
          <w:lang w:val="fr-FR"/>
        </w:rPr>
        <w:t xml:space="preserve">, fixant notamment les parties à consulter ainsi que les différentes modalités de </w:t>
      </w:r>
      <w:r>
        <w:rPr>
          <w:rFonts w:ascii="Garamond" w:eastAsia="Calibri" w:hAnsi="Garamond" w:cs="Times New Roman"/>
          <w:color w:val="000000"/>
          <w:sz w:val="24"/>
          <w:szCs w:val="24"/>
          <w:lang w:val="fr-FR"/>
        </w:rPr>
        <w:t xml:space="preserve">participation et de </w:t>
      </w:r>
      <w:r w:rsidRPr="002E0A80">
        <w:rPr>
          <w:rFonts w:ascii="Garamond" w:eastAsia="Calibri" w:hAnsi="Garamond" w:cs="Times New Roman"/>
          <w:color w:val="000000"/>
          <w:sz w:val="24"/>
          <w:szCs w:val="24"/>
          <w:lang w:val="fr-FR"/>
        </w:rPr>
        <w:t xml:space="preserve">consultation ; </w:t>
      </w:r>
    </w:p>
    <w:p w14:paraId="73BFFE23" w14:textId="77777777" w:rsidR="00A97167" w:rsidRPr="002E0A80" w:rsidRDefault="00A97167" w:rsidP="00A97167">
      <w:pPr>
        <w:pStyle w:val="Paragraphedeliste"/>
        <w:rPr>
          <w:rFonts w:ascii="Garamond" w:eastAsia="Calibri" w:hAnsi="Garamond" w:cs="Times New Roman"/>
          <w:color w:val="000000"/>
          <w:sz w:val="24"/>
          <w:szCs w:val="24"/>
          <w:lang w:val="fr-FR"/>
        </w:rPr>
      </w:pPr>
    </w:p>
    <w:p w14:paraId="27858718" w14:textId="3CDCC125" w:rsidR="00A97167" w:rsidRPr="002E0A80" w:rsidRDefault="00A97167" w:rsidP="00A97167">
      <w:pPr>
        <w:pStyle w:val="Paragraphedeliste"/>
        <w:numPr>
          <w:ilvl w:val="0"/>
          <w:numId w:val="3"/>
        </w:numPr>
        <w:autoSpaceDE w:val="0"/>
        <w:autoSpaceDN w:val="0"/>
        <w:adjustRightInd w:val="0"/>
        <w:jc w:val="both"/>
        <w:rPr>
          <w:rFonts w:ascii="Garamond" w:eastAsia="Calibri" w:hAnsi="Garamond" w:cs="Times New Roman"/>
          <w:color w:val="000000"/>
          <w:sz w:val="24"/>
          <w:szCs w:val="24"/>
          <w:lang w:val="fr-FR"/>
        </w:rPr>
      </w:pPr>
      <w:r w:rsidRPr="00EF1E57">
        <w:rPr>
          <w:rFonts w:ascii="Garamond" w:hAnsi="Garamond"/>
          <w:b/>
          <w:bCs/>
          <w:sz w:val="24"/>
          <w:szCs w:val="24"/>
          <w:lang w:val="fr-FR"/>
        </w:rPr>
        <w:t>Appuyer et animer les consultations</w:t>
      </w:r>
      <w:r w:rsidRPr="00EF1E57">
        <w:rPr>
          <w:rFonts w:ascii="Garamond" w:hAnsi="Garamond"/>
          <w:sz w:val="24"/>
          <w:szCs w:val="24"/>
          <w:lang w:val="fr-FR"/>
        </w:rPr>
        <w:t xml:space="preserve"> avec les </w:t>
      </w:r>
      <w:r w:rsidR="00C61F88">
        <w:rPr>
          <w:rFonts w:ascii="Garamond" w:hAnsi="Garamond"/>
          <w:sz w:val="24"/>
          <w:szCs w:val="24"/>
          <w:lang w:val="fr-FR"/>
        </w:rPr>
        <w:t xml:space="preserve">différents comités (groupe d’appui du MIEPEEC et Groupe de Haut Niveau) et les </w:t>
      </w:r>
      <w:r w:rsidRPr="00EF1E57">
        <w:rPr>
          <w:rFonts w:ascii="Garamond" w:hAnsi="Garamond"/>
          <w:sz w:val="24"/>
          <w:szCs w:val="24"/>
          <w:lang w:val="fr-FR"/>
        </w:rPr>
        <w:t>différentes parties prenantes (y compris, les membres de la CSNMD, le MIEPE</w:t>
      </w:r>
      <w:r w:rsidR="00C61F88">
        <w:rPr>
          <w:rFonts w:ascii="Garamond" w:hAnsi="Garamond"/>
          <w:sz w:val="24"/>
          <w:szCs w:val="24"/>
          <w:lang w:val="fr-FR"/>
        </w:rPr>
        <w:t>E</w:t>
      </w:r>
      <w:r w:rsidRPr="00EF1E57">
        <w:rPr>
          <w:rFonts w:ascii="Garamond" w:hAnsi="Garamond"/>
          <w:sz w:val="24"/>
          <w:szCs w:val="24"/>
          <w:lang w:val="fr-FR"/>
        </w:rPr>
        <w:t xml:space="preserve">C et les structures rattachées, les ministères sectoriels, </w:t>
      </w:r>
      <w:r w:rsidRPr="00EF1E57">
        <w:rPr>
          <w:rFonts w:ascii="Garamond" w:hAnsi="Garamond"/>
          <w:sz w:val="24"/>
          <w:szCs w:val="24"/>
          <w:lang w:val="fr-FR"/>
        </w:rPr>
        <w:lastRenderedPageBreak/>
        <w:t xml:space="preserve">les ministères économiques et de planification, le ministère de l'intérieur, les partenaires sociaux et les principaux partenaires techniques et financiers intervenants sur la question d’emploi au Maroc; </w:t>
      </w:r>
    </w:p>
    <w:p w14:paraId="489C594B" w14:textId="77777777" w:rsidR="00A97167" w:rsidRPr="002E0A80" w:rsidRDefault="00A97167" w:rsidP="00A97167">
      <w:pPr>
        <w:pStyle w:val="Paragraphedeliste"/>
        <w:rPr>
          <w:rFonts w:ascii="Garamond" w:eastAsia="Calibri" w:hAnsi="Garamond" w:cs="Times New Roman"/>
          <w:color w:val="000000"/>
          <w:sz w:val="24"/>
          <w:szCs w:val="24"/>
          <w:lang w:val="fr-FR"/>
        </w:rPr>
      </w:pPr>
    </w:p>
    <w:p w14:paraId="311A6737" w14:textId="69C1CD98" w:rsidR="00A97167" w:rsidRPr="00852C46" w:rsidRDefault="00A97167" w:rsidP="00A97167">
      <w:pPr>
        <w:pStyle w:val="Paragraphedeliste"/>
        <w:numPr>
          <w:ilvl w:val="0"/>
          <w:numId w:val="3"/>
        </w:numPr>
        <w:autoSpaceDE w:val="0"/>
        <w:autoSpaceDN w:val="0"/>
        <w:adjustRightInd w:val="0"/>
        <w:jc w:val="both"/>
        <w:rPr>
          <w:rFonts w:ascii="Garamond" w:eastAsia="Calibri" w:hAnsi="Garamond" w:cs="Times New Roman"/>
          <w:color w:val="000000"/>
          <w:sz w:val="24"/>
          <w:szCs w:val="24"/>
          <w:lang w:val="fr-FR"/>
        </w:rPr>
      </w:pPr>
      <w:r w:rsidRPr="004E0E2A">
        <w:rPr>
          <w:rFonts w:ascii="Garamond" w:hAnsi="Garamond" w:cs="Arial"/>
          <w:b/>
          <w:bCs/>
          <w:color w:val="0D0D0D" w:themeColor="text1" w:themeTint="F2"/>
          <w:sz w:val="24"/>
          <w:szCs w:val="24"/>
          <w:lang w:val="fr-FR"/>
        </w:rPr>
        <w:t>Sur la base de (i)</w:t>
      </w:r>
      <w:r w:rsidR="00FE02C4">
        <w:rPr>
          <w:rFonts w:ascii="Garamond" w:hAnsi="Garamond" w:cs="Arial"/>
          <w:b/>
          <w:bCs/>
          <w:color w:val="0D0D0D" w:themeColor="text1" w:themeTint="F2"/>
          <w:sz w:val="24"/>
          <w:szCs w:val="24"/>
          <w:lang w:val="fr-FR"/>
        </w:rPr>
        <w:t xml:space="preserve"> et</w:t>
      </w:r>
      <w:r w:rsidRPr="004E0E2A">
        <w:rPr>
          <w:rFonts w:ascii="Garamond" w:hAnsi="Garamond" w:cs="Arial"/>
          <w:b/>
          <w:bCs/>
          <w:color w:val="0D0D0D" w:themeColor="text1" w:themeTint="F2"/>
          <w:sz w:val="24"/>
          <w:szCs w:val="24"/>
          <w:lang w:val="fr-FR"/>
        </w:rPr>
        <w:t xml:space="preserve"> (ii) formuler un projet de </w:t>
      </w:r>
      <w:r w:rsidR="00FE02C4">
        <w:rPr>
          <w:rFonts w:ascii="Garamond" w:hAnsi="Garamond" w:cs="Arial"/>
          <w:b/>
          <w:bCs/>
          <w:color w:val="0D0D0D" w:themeColor="text1" w:themeTint="F2"/>
          <w:sz w:val="24"/>
          <w:szCs w:val="24"/>
          <w:lang w:val="fr-FR"/>
        </w:rPr>
        <w:t xml:space="preserve">plan d’action de la PN2E </w:t>
      </w:r>
      <w:r w:rsidR="00B709B8">
        <w:rPr>
          <w:rFonts w:ascii="Garamond" w:hAnsi="Garamond" w:cs="Arial"/>
          <w:b/>
          <w:bCs/>
          <w:color w:val="0D0D0D" w:themeColor="text1" w:themeTint="F2"/>
          <w:sz w:val="24"/>
          <w:szCs w:val="24"/>
          <w:lang w:val="fr-FR"/>
        </w:rPr>
        <w:t xml:space="preserve">35 </w:t>
      </w:r>
      <w:r>
        <w:rPr>
          <w:rFonts w:ascii="Garamond" w:hAnsi="Garamond" w:cs="Arial"/>
          <w:color w:val="0D0D0D" w:themeColor="text1" w:themeTint="F2"/>
          <w:sz w:val="24"/>
          <w:szCs w:val="24"/>
          <w:lang w:val="fr-FR"/>
        </w:rPr>
        <w:t>et notamment :</w:t>
      </w:r>
      <w:r w:rsidRPr="002E0A80">
        <w:rPr>
          <w:rFonts w:ascii="Garamond" w:hAnsi="Garamond" w:cs="Arial"/>
          <w:color w:val="0D0D0D" w:themeColor="text1" w:themeTint="F2"/>
          <w:sz w:val="24"/>
          <w:szCs w:val="24"/>
          <w:lang w:val="fr-FR"/>
        </w:rPr>
        <w:t xml:space="preserve"> </w:t>
      </w:r>
      <w:r w:rsidR="00FE02C4">
        <w:rPr>
          <w:rFonts w:ascii="Garamond" w:hAnsi="Garamond" w:cs="Arial"/>
          <w:color w:val="0D0D0D" w:themeColor="text1" w:themeTint="F2"/>
          <w:sz w:val="24"/>
          <w:szCs w:val="24"/>
          <w:lang w:val="fr-FR"/>
        </w:rPr>
        <w:t xml:space="preserve">identifier </w:t>
      </w:r>
      <w:r>
        <w:rPr>
          <w:rFonts w:ascii="Garamond" w:hAnsi="Garamond" w:cs="Arial"/>
          <w:color w:val="0D0D0D" w:themeColor="text1" w:themeTint="F2"/>
          <w:sz w:val="24"/>
          <w:szCs w:val="24"/>
          <w:lang w:val="fr-FR"/>
        </w:rPr>
        <w:t>les initiatives phares (</w:t>
      </w:r>
      <w:r w:rsidR="00FE02C4">
        <w:rPr>
          <w:rFonts w:ascii="Garamond" w:hAnsi="Garamond" w:cs="Arial"/>
          <w:color w:val="0D0D0D" w:themeColor="text1" w:themeTint="F2"/>
          <w:sz w:val="24"/>
          <w:szCs w:val="24"/>
          <w:lang w:val="fr-FR"/>
        </w:rPr>
        <w:t>8-10</w:t>
      </w:r>
      <w:r>
        <w:rPr>
          <w:rFonts w:ascii="Garamond" w:hAnsi="Garamond" w:cs="Arial"/>
          <w:color w:val="0D0D0D" w:themeColor="text1" w:themeTint="F2"/>
          <w:sz w:val="24"/>
          <w:szCs w:val="24"/>
          <w:lang w:val="fr-FR"/>
        </w:rPr>
        <w:t xml:space="preserve"> au maximum) </w:t>
      </w:r>
      <w:r w:rsidR="00FE02C4">
        <w:rPr>
          <w:rFonts w:ascii="Garamond" w:hAnsi="Garamond" w:cs="Arial"/>
          <w:color w:val="0D0D0D" w:themeColor="text1" w:themeTint="F2"/>
          <w:sz w:val="24"/>
          <w:szCs w:val="24"/>
          <w:lang w:val="fr-FR"/>
        </w:rPr>
        <w:t>ainsi que leurs modalités de mises en œuvre, telles que les responsabilités, les délais et le budget requis.</w:t>
      </w:r>
    </w:p>
    <w:p w14:paraId="5CF68212" w14:textId="77777777" w:rsidR="00A97167" w:rsidRPr="00A97167" w:rsidRDefault="00A97167" w:rsidP="00A97167">
      <w:pPr>
        <w:autoSpaceDE w:val="0"/>
        <w:autoSpaceDN w:val="0"/>
        <w:adjustRightInd w:val="0"/>
        <w:jc w:val="both"/>
        <w:rPr>
          <w:rFonts w:ascii="Garamond" w:hAnsi="Garamond" w:cs="Cambria"/>
          <w:color w:val="FF0000"/>
          <w:sz w:val="24"/>
          <w:szCs w:val="24"/>
          <w:lang w:val="fr-CH"/>
        </w:rPr>
      </w:pPr>
    </w:p>
    <w:p w14:paraId="5EF7377B" w14:textId="20A51643" w:rsidR="00A97167" w:rsidRPr="008C0FBC" w:rsidRDefault="00A97167" w:rsidP="00A97167">
      <w:pPr>
        <w:autoSpaceDE w:val="0"/>
        <w:autoSpaceDN w:val="0"/>
        <w:adjustRightInd w:val="0"/>
        <w:jc w:val="both"/>
        <w:rPr>
          <w:rFonts w:ascii="Garamond" w:hAnsi="Garamond" w:cs="Cambria"/>
          <w:b/>
          <w:bCs/>
          <w:color w:val="0D0D0D" w:themeColor="text1" w:themeTint="F2"/>
          <w:sz w:val="24"/>
          <w:szCs w:val="24"/>
          <w:lang w:val="fr-CH"/>
        </w:rPr>
      </w:pPr>
      <w:r w:rsidRPr="008C0FBC">
        <w:rPr>
          <w:rFonts w:ascii="Garamond" w:hAnsi="Garamond" w:cs="Cambria"/>
          <w:b/>
          <w:bCs/>
          <w:color w:val="0D0D0D" w:themeColor="text1" w:themeTint="F2"/>
          <w:sz w:val="24"/>
          <w:szCs w:val="24"/>
          <w:lang w:val="fr-CH"/>
        </w:rPr>
        <w:t xml:space="preserve">Afin d’assister le Maroc à la formulation </w:t>
      </w:r>
      <w:r w:rsidR="00FE02C4">
        <w:rPr>
          <w:rFonts w:ascii="Garamond" w:hAnsi="Garamond" w:cs="Cambria"/>
          <w:b/>
          <w:bCs/>
          <w:color w:val="0D0D0D" w:themeColor="text1" w:themeTint="F2"/>
          <w:sz w:val="24"/>
          <w:szCs w:val="24"/>
          <w:lang w:val="fr-CH"/>
        </w:rPr>
        <w:t>du plan d’action</w:t>
      </w:r>
      <w:r w:rsidRPr="008C0FBC">
        <w:rPr>
          <w:rFonts w:ascii="Garamond" w:hAnsi="Garamond" w:cs="Cambria"/>
          <w:b/>
          <w:bCs/>
          <w:color w:val="0D0D0D" w:themeColor="text1" w:themeTint="F2"/>
          <w:sz w:val="24"/>
          <w:szCs w:val="24"/>
          <w:lang w:val="fr-CH"/>
        </w:rPr>
        <w:t xml:space="preserve">, le BIT mettra en place une équipe d’experts multidisciplinaire composée de : </w:t>
      </w:r>
    </w:p>
    <w:p w14:paraId="36B53F6C" w14:textId="77777777" w:rsidR="00A97167" w:rsidRPr="008C0FBC" w:rsidRDefault="00A97167" w:rsidP="00A97167">
      <w:pPr>
        <w:pStyle w:val="Default"/>
        <w:numPr>
          <w:ilvl w:val="0"/>
          <w:numId w:val="4"/>
        </w:numPr>
        <w:spacing w:after="27"/>
        <w:jc w:val="both"/>
        <w:rPr>
          <w:rFonts w:ascii="Garamond" w:hAnsi="Garamond"/>
          <w:b/>
          <w:bCs/>
          <w:lang w:val="fr-CH"/>
        </w:rPr>
      </w:pPr>
      <w:r w:rsidRPr="008C0FBC">
        <w:rPr>
          <w:rFonts w:ascii="Garamond" w:hAnsi="Garamond"/>
          <w:b/>
          <w:bCs/>
          <w:lang w:val="fr-CH"/>
        </w:rPr>
        <w:t xml:space="preserve">Un/une consultant principal international </w:t>
      </w:r>
    </w:p>
    <w:p w14:paraId="624EE0D5" w14:textId="710DD321" w:rsidR="00A97167" w:rsidRPr="008C0FBC" w:rsidRDefault="00A97167" w:rsidP="00A97167">
      <w:pPr>
        <w:pStyle w:val="Default"/>
        <w:numPr>
          <w:ilvl w:val="0"/>
          <w:numId w:val="4"/>
        </w:numPr>
        <w:spacing w:after="27"/>
        <w:jc w:val="both"/>
        <w:rPr>
          <w:rFonts w:ascii="Garamond" w:hAnsi="Garamond"/>
          <w:b/>
          <w:bCs/>
          <w:lang w:val="fr-CH"/>
        </w:rPr>
      </w:pPr>
      <w:r w:rsidRPr="008C0FBC">
        <w:rPr>
          <w:rFonts w:ascii="Garamond" w:hAnsi="Garamond"/>
          <w:b/>
          <w:bCs/>
          <w:lang w:val="fr-CH"/>
        </w:rPr>
        <w:t>Un/une consultant coordonnateur de l’équipe des experts nationaux</w:t>
      </w:r>
    </w:p>
    <w:p w14:paraId="071439FA" w14:textId="77777777" w:rsidR="00A97167" w:rsidRPr="008C0FBC" w:rsidRDefault="00A97167" w:rsidP="00A97167">
      <w:pPr>
        <w:pStyle w:val="Default"/>
        <w:numPr>
          <w:ilvl w:val="0"/>
          <w:numId w:val="4"/>
        </w:numPr>
        <w:spacing w:after="27"/>
        <w:jc w:val="both"/>
        <w:rPr>
          <w:rFonts w:ascii="Garamond" w:hAnsi="Garamond"/>
          <w:b/>
          <w:bCs/>
          <w:lang w:val="fr-CH"/>
        </w:rPr>
      </w:pPr>
      <w:r w:rsidRPr="008C0FBC">
        <w:rPr>
          <w:rFonts w:ascii="Garamond" w:hAnsi="Garamond"/>
          <w:b/>
          <w:bCs/>
          <w:lang w:val="fr-CH"/>
        </w:rPr>
        <w:t xml:space="preserve">Des experts nationaux thématiques, notamment : </w:t>
      </w:r>
    </w:p>
    <w:p w14:paraId="2E00E332" w14:textId="77777777" w:rsidR="00A97167" w:rsidRPr="008C0FBC" w:rsidRDefault="00A97167" w:rsidP="00A97167">
      <w:pPr>
        <w:pStyle w:val="Default"/>
        <w:numPr>
          <w:ilvl w:val="1"/>
          <w:numId w:val="4"/>
        </w:numPr>
        <w:spacing w:after="27"/>
        <w:jc w:val="both"/>
        <w:rPr>
          <w:rFonts w:ascii="Garamond" w:hAnsi="Garamond"/>
          <w:b/>
          <w:bCs/>
          <w:lang w:val="fr-CH"/>
        </w:rPr>
      </w:pPr>
      <w:r w:rsidRPr="008C0FBC">
        <w:rPr>
          <w:rFonts w:ascii="Garamond" w:hAnsi="Garamond"/>
          <w:b/>
          <w:bCs/>
          <w:lang w:val="fr-CH"/>
        </w:rPr>
        <w:t xml:space="preserve">Un/une spécialiste des questions genre. </w:t>
      </w:r>
    </w:p>
    <w:p w14:paraId="7318B18E" w14:textId="3A6990A6" w:rsidR="00A97167" w:rsidRDefault="00A97167" w:rsidP="00A97167">
      <w:pPr>
        <w:pStyle w:val="Default"/>
        <w:numPr>
          <w:ilvl w:val="1"/>
          <w:numId w:val="4"/>
        </w:numPr>
        <w:spacing w:after="27"/>
        <w:jc w:val="both"/>
        <w:rPr>
          <w:rFonts w:ascii="Garamond" w:hAnsi="Garamond"/>
          <w:b/>
          <w:bCs/>
          <w:lang w:val="fr-CH"/>
        </w:rPr>
      </w:pPr>
      <w:r w:rsidRPr="008C0FBC">
        <w:rPr>
          <w:rFonts w:ascii="Garamond" w:hAnsi="Garamond"/>
          <w:b/>
          <w:bCs/>
          <w:lang w:val="fr-CH"/>
        </w:rPr>
        <w:t xml:space="preserve">Un/une spécialiste des </w:t>
      </w:r>
      <w:r w:rsidR="00FE02C4">
        <w:rPr>
          <w:rFonts w:ascii="Garamond" w:hAnsi="Garamond"/>
          <w:b/>
          <w:bCs/>
          <w:lang w:val="fr-CH"/>
        </w:rPr>
        <w:t>questions sectorielles et territoriales</w:t>
      </w:r>
    </w:p>
    <w:p w14:paraId="7EDF0D4A" w14:textId="620CE9C7" w:rsidR="00B15618" w:rsidRPr="008C0FBC" w:rsidRDefault="00B15618" w:rsidP="00A97167">
      <w:pPr>
        <w:pStyle w:val="Default"/>
        <w:numPr>
          <w:ilvl w:val="1"/>
          <w:numId w:val="4"/>
        </w:numPr>
        <w:spacing w:after="27"/>
        <w:jc w:val="both"/>
        <w:rPr>
          <w:rFonts w:ascii="Garamond" w:hAnsi="Garamond"/>
          <w:b/>
          <w:bCs/>
          <w:lang w:val="fr-CH"/>
        </w:rPr>
      </w:pPr>
      <w:r>
        <w:rPr>
          <w:rFonts w:ascii="Garamond" w:hAnsi="Garamond"/>
          <w:b/>
          <w:bCs/>
          <w:lang w:val="fr-CH"/>
        </w:rPr>
        <w:t xml:space="preserve">Un/une expert spécialiste des emplois verts, </w:t>
      </w:r>
    </w:p>
    <w:p w14:paraId="15607DDD" w14:textId="77777777" w:rsidR="00A97167" w:rsidRPr="008C0FBC" w:rsidRDefault="00A97167" w:rsidP="00A97167">
      <w:pPr>
        <w:jc w:val="both"/>
        <w:rPr>
          <w:rFonts w:ascii="Garamond" w:hAnsi="Garamond" w:cs="Arial"/>
          <w:b/>
          <w:bCs/>
          <w:color w:val="0D0D0D" w:themeColor="text1" w:themeTint="F2"/>
          <w:sz w:val="24"/>
          <w:szCs w:val="24"/>
          <w:lang w:val="fr-CH"/>
        </w:rPr>
      </w:pPr>
    </w:p>
    <w:p w14:paraId="27DB1004" w14:textId="529DC5EB" w:rsidR="00A97167" w:rsidRPr="008C0FBC" w:rsidRDefault="00A97167" w:rsidP="00A97167">
      <w:pPr>
        <w:pBdr>
          <w:bottom w:val="single" w:sz="8" w:space="1" w:color="0070C0"/>
        </w:pBdr>
        <w:autoSpaceDE w:val="0"/>
        <w:autoSpaceDN w:val="0"/>
        <w:adjustRightInd w:val="0"/>
        <w:rPr>
          <w:rFonts w:ascii="Garamond" w:hAnsi="Garamond" w:cs="Arial"/>
          <w:b/>
          <w:bCs/>
          <w:color w:val="7030A0"/>
          <w:sz w:val="24"/>
          <w:szCs w:val="24"/>
          <w:lang w:val="fr-CH"/>
        </w:rPr>
      </w:pPr>
      <w:bookmarkStart w:id="2" w:name="_Hlk114135107"/>
      <w:r w:rsidRPr="008C0FBC">
        <w:rPr>
          <w:rFonts w:ascii="Garamond" w:hAnsi="Garamond" w:cs="Arial"/>
          <w:b/>
          <w:bCs/>
          <w:color w:val="7030A0"/>
          <w:sz w:val="24"/>
          <w:szCs w:val="24"/>
          <w:lang w:val="fr-CH"/>
        </w:rPr>
        <w:t>III : Mission du consultant</w:t>
      </w:r>
      <w:r w:rsidR="00B71092">
        <w:rPr>
          <w:rFonts w:ascii="Garamond" w:hAnsi="Garamond" w:cs="Arial"/>
          <w:b/>
          <w:bCs/>
          <w:color w:val="7030A0"/>
          <w:sz w:val="24"/>
          <w:szCs w:val="24"/>
          <w:lang w:val="fr-CH"/>
        </w:rPr>
        <w:t xml:space="preserve"> </w:t>
      </w:r>
      <w:r w:rsidR="00B15618">
        <w:rPr>
          <w:rFonts w:ascii="Garamond" w:hAnsi="Garamond" w:cs="Arial"/>
          <w:b/>
          <w:bCs/>
          <w:color w:val="7030A0"/>
          <w:sz w:val="24"/>
          <w:szCs w:val="24"/>
          <w:lang w:val="fr-CH"/>
        </w:rPr>
        <w:t>coordonnateur de l’équipe des experts nationaux</w:t>
      </w:r>
    </w:p>
    <w:p w14:paraId="1A0221BA" w14:textId="77777777" w:rsidR="00A97167" w:rsidRDefault="00A97167" w:rsidP="00A97167">
      <w:pPr>
        <w:jc w:val="both"/>
        <w:rPr>
          <w:rFonts w:ascii="Garamond" w:eastAsia="Arial Unicode MS" w:hAnsi="Garamond"/>
          <w:color w:val="0D0D0D" w:themeColor="text1" w:themeTint="F2"/>
          <w:sz w:val="24"/>
          <w:szCs w:val="24"/>
          <w:lang w:val="fr-CH"/>
        </w:rPr>
      </w:pPr>
    </w:p>
    <w:bookmarkEnd w:id="0"/>
    <w:bookmarkEnd w:id="2"/>
    <w:p w14:paraId="2EEF2080" w14:textId="132FE454" w:rsidR="003D6D2A" w:rsidRPr="00EC3998" w:rsidRDefault="003D6D2A" w:rsidP="003D6D2A">
      <w:pPr>
        <w:pStyle w:val="Default"/>
        <w:spacing w:after="27"/>
        <w:jc w:val="both"/>
        <w:rPr>
          <w:rFonts w:ascii="Times New Roman" w:hAnsi="Times New Roman" w:cs="Times New Roman"/>
          <w:lang w:val="fr-CH"/>
        </w:rPr>
      </w:pPr>
      <w:r w:rsidRPr="00EC3998">
        <w:rPr>
          <w:rFonts w:ascii="Times New Roman" w:hAnsi="Times New Roman" w:cs="Times New Roman"/>
          <w:lang w:val="fr-CH"/>
        </w:rPr>
        <w:t xml:space="preserve">Le consultant sera un expert doté d’une solide expérience dans la conception, la mise en œuvre et le suivi de politiques de l’emploi. Il collaborera avec l’expert international et coordonnera le travail des consultants nationaux. Il </w:t>
      </w:r>
      <w:r w:rsidR="00B15618" w:rsidRPr="00EC3998">
        <w:rPr>
          <w:rFonts w:ascii="Times New Roman" w:hAnsi="Times New Roman" w:cs="Times New Roman"/>
          <w:lang w:val="fr-CH"/>
        </w:rPr>
        <w:t>aura également la charge</w:t>
      </w:r>
      <w:r w:rsidRPr="00EC3998">
        <w:rPr>
          <w:rFonts w:ascii="Times New Roman" w:hAnsi="Times New Roman" w:cs="Times New Roman"/>
          <w:lang w:val="fr-CH"/>
        </w:rPr>
        <w:t xml:space="preserve"> de la rédaction des principaux livrables</w:t>
      </w:r>
      <w:r>
        <w:rPr>
          <w:rFonts w:ascii="Times New Roman" w:hAnsi="Times New Roman" w:cs="Times New Roman"/>
          <w:lang w:val="fr-CH"/>
        </w:rPr>
        <w:t>.</w:t>
      </w:r>
    </w:p>
    <w:p w14:paraId="26BEAD83" w14:textId="77777777" w:rsidR="003D6D2A" w:rsidRPr="00EC3998" w:rsidRDefault="003D6D2A" w:rsidP="003D6D2A">
      <w:pPr>
        <w:jc w:val="both"/>
        <w:rPr>
          <w:rFonts w:ascii="Times New Roman" w:eastAsia="Arial Unicode MS" w:hAnsi="Times New Roman" w:cs="Times New Roman"/>
          <w:color w:val="0D0D0D" w:themeColor="text1" w:themeTint="F2"/>
          <w:sz w:val="24"/>
          <w:szCs w:val="24"/>
          <w:lang w:val="fr-CH"/>
        </w:rPr>
      </w:pPr>
    </w:p>
    <w:p w14:paraId="7C133A5A" w14:textId="77777777" w:rsidR="003D6D2A" w:rsidRPr="00EC3998" w:rsidRDefault="003D6D2A" w:rsidP="003D6D2A">
      <w:pPr>
        <w:jc w:val="both"/>
        <w:rPr>
          <w:rFonts w:ascii="Times New Roman" w:hAnsi="Times New Roman" w:cs="Times New Roman"/>
          <w:bCs/>
          <w:sz w:val="24"/>
          <w:szCs w:val="24"/>
          <w:lang w:val="fr-FR" w:eastAsia="en-GB"/>
        </w:rPr>
      </w:pPr>
      <w:r w:rsidRPr="00EC3998">
        <w:rPr>
          <w:rFonts w:ascii="Times New Roman" w:hAnsi="Times New Roman" w:cs="Times New Roman"/>
          <w:sz w:val="24"/>
          <w:szCs w:val="24"/>
          <w:lang w:val="fr-FR" w:eastAsia="en-GB"/>
        </w:rPr>
        <w:t>Sur</w:t>
      </w:r>
      <w:r w:rsidRPr="00EC3998">
        <w:rPr>
          <w:rFonts w:ascii="Times New Roman" w:hAnsi="Times New Roman" w:cs="Times New Roman"/>
          <w:color w:val="0D0D0D" w:themeColor="text1" w:themeTint="F2"/>
          <w:sz w:val="24"/>
          <w:szCs w:val="24"/>
          <w:lang w:val="fr-CH"/>
        </w:rPr>
        <w:t xml:space="preserve"> la base de la méthodologie précisée ci-dessus, </w:t>
      </w:r>
      <w:r w:rsidRPr="00EC3998">
        <w:rPr>
          <w:rFonts w:ascii="Times New Roman" w:hAnsi="Times New Roman" w:cs="Times New Roman"/>
          <w:b/>
          <w:sz w:val="24"/>
          <w:szCs w:val="24"/>
          <w:lang w:val="fr-FR" w:eastAsia="en-GB"/>
        </w:rPr>
        <w:t xml:space="preserve">le consultant principal international et coordonnateur de l’équipe des experts nationaux, </w:t>
      </w:r>
      <w:r w:rsidRPr="00EC3998">
        <w:rPr>
          <w:rFonts w:ascii="Times New Roman" w:hAnsi="Times New Roman" w:cs="Times New Roman"/>
          <w:color w:val="0D0D0D" w:themeColor="text1" w:themeTint="F2"/>
          <w:sz w:val="24"/>
          <w:szCs w:val="24"/>
          <w:lang w:val="fr-CH"/>
        </w:rPr>
        <w:t>en collaboration avec les autres membres de l’équipe des experts et sous la supervision technique de l’OIT</w:t>
      </w:r>
      <w:r w:rsidRPr="00EC3998">
        <w:rPr>
          <w:rFonts w:ascii="Times New Roman" w:hAnsi="Times New Roman" w:cs="Times New Roman"/>
          <w:bCs/>
          <w:sz w:val="24"/>
          <w:szCs w:val="24"/>
          <w:lang w:val="fr-FR" w:eastAsia="en-GB"/>
        </w:rPr>
        <w:t xml:space="preserve">, devra fournir les livrables suivants: </w:t>
      </w:r>
    </w:p>
    <w:p w14:paraId="4787CC66" w14:textId="77777777" w:rsidR="00B5391D" w:rsidRPr="003D6D2A" w:rsidRDefault="00B5391D" w:rsidP="009D6468">
      <w:pPr>
        <w:jc w:val="both"/>
        <w:rPr>
          <w:rFonts w:ascii="Garamond" w:eastAsia="Arial Unicode MS" w:hAnsi="Garamond"/>
          <w:color w:val="0D0D0D" w:themeColor="text1" w:themeTint="F2"/>
          <w:sz w:val="24"/>
          <w:szCs w:val="24"/>
          <w:lang w:val="fr-FR"/>
        </w:rPr>
      </w:pPr>
    </w:p>
    <w:p w14:paraId="5D9E716A" w14:textId="77777777" w:rsidR="00034256" w:rsidRPr="00EF1E57" w:rsidRDefault="00034256" w:rsidP="00034256">
      <w:pPr>
        <w:jc w:val="both"/>
        <w:rPr>
          <w:rFonts w:ascii="Garamond" w:hAnsi="Garamond" w:cs="Noto Sans"/>
          <w:bCs/>
          <w:sz w:val="24"/>
          <w:szCs w:val="24"/>
          <w:lang w:val="fr-FR" w:eastAsia="en-GB"/>
        </w:rPr>
      </w:pPr>
    </w:p>
    <w:p w14:paraId="4A3C462E" w14:textId="5237874A" w:rsidR="003232C3" w:rsidRDefault="00414900" w:rsidP="003232C3">
      <w:pPr>
        <w:pStyle w:val="Paragraphedeliste"/>
        <w:numPr>
          <w:ilvl w:val="0"/>
          <w:numId w:val="8"/>
        </w:numPr>
        <w:autoSpaceDE w:val="0"/>
        <w:autoSpaceDN w:val="0"/>
        <w:adjustRightInd w:val="0"/>
        <w:jc w:val="both"/>
        <w:rPr>
          <w:rFonts w:ascii="Garamond" w:eastAsia="Calibri" w:hAnsi="Garamond" w:cs="Times New Roman"/>
          <w:color w:val="000000"/>
          <w:sz w:val="24"/>
          <w:szCs w:val="24"/>
          <w:lang w:val="fr-FR"/>
        </w:rPr>
      </w:pPr>
      <w:bookmarkStart w:id="3" w:name="_Hlk134706325"/>
      <w:r>
        <w:rPr>
          <w:rFonts w:ascii="Garamond" w:eastAsia="Calibri" w:hAnsi="Garamond" w:cs="Times New Roman"/>
          <w:color w:val="000000"/>
          <w:sz w:val="24"/>
          <w:szCs w:val="24"/>
          <w:lang w:val="fr-FR"/>
        </w:rPr>
        <w:t>L</w:t>
      </w:r>
      <w:r w:rsidR="003232C3" w:rsidRPr="00AE2F12">
        <w:rPr>
          <w:rFonts w:ascii="Garamond" w:eastAsia="Calibri" w:hAnsi="Garamond" w:cs="Times New Roman"/>
          <w:color w:val="000000"/>
          <w:sz w:val="24"/>
          <w:szCs w:val="24"/>
          <w:lang w:val="fr-FR"/>
        </w:rPr>
        <w:t>e rapport méthodologique de formulation du plan d’action de la PN2E 35</w:t>
      </w:r>
      <w:r w:rsidR="003232C3" w:rsidRPr="0054685D">
        <w:rPr>
          <w:rFonts w:ascii="Garamond" w:eastAsia="Calibri" w:hAnsi="Garamond" w:cs="Times New Roman"/>
          <w:color w:val="000000"/>
          <w:sz w:val="24"/>
          <w:szCs w:val="24"/>
          <w:lang w:val="fr-FR"/>
        </w:rPr>
        <w:t>, fixant</w:t>
      </w:r>
      <w:r w:rsidR="003232C3" w:rsidRPr="002E0A80">
        <w:rPr>
          <w:rFonts w:ascii="Garamond" w:eastAsia="Calibri" w:hAnsi="Garamond" w:cs="Times New Roman"/>
          <w:color w:val="000000"/>
          <w:sz w:val="24"/>
          <w:szCs w:val="24"/>
          <w:lang w:val="fr-FR"/>
        </w:rPr>
        <w:t xml:space="preserve"> notamment les parties à consulter ainsi que les différentes modalités de </w:t>
      </w:r>
      <w:r w:rsidR="003232C3">
        <w:rPr>
          <w:rFonts w:ascii="Garamond" w:eastAsia="Calibri" w:hAnsi="Garamond" w:cs="Times New Roman"/>
          <w:color w:val="000000"/>
          <w:sz w:val="24"/>
          <w:szCs w:val="24"/>
          <w:lang w:val="fr-FR"/>
        </w:rPr>
        <w:t xml:space="preserve">participation et de </w:t>
      </w:r>
      <w:r w:rsidR="003232C3" w:rsidRPr="002E0A80">
        <w:rPr>
          <w:rFonts w:ascii="Garamond" w:eastAsia="Calibri" w:hAnsi="Garamond" w:cs="Times New Roman"/>
          <w:color w:val="000000"/>
          <w:sz w:val="24"/>
          <w:szCs w:val="24"/>
          <w:lang w:val="fr-FR"/>
        </w:rPr>
        <w:t xml:space="preserve">consultation ; </w:t>
      </w:r>
    </w:p>
    <w:p w14:paraId="6AA9A718" w14:textId="483CDD2B" w:rsidR="00034256" w:rsidRPr="00B71092" w:rsidRDefault="00414900" w:rsidP="003D6D2A">
      <w:pPr>
        <w:pStyle w:val="Paragraphedeliste"/>
        <w:numPr>
          <w:ilvl w:val="0"/>
          <w:numId w:val="8"/>
        </w:numPr>
        <w:jc w:val="both"/>
        <w:rPr>
          <w:rFonts w:ascii="Garamond" w:hAnsi="Garamond" w:cs="Noto Sans"/>
          <w:bCs/>
          <w:sz w:val="24"/>
          <w:szCs w:val="24"/>
          <w:lang w:val="fr-FR" w:eastAsia="en-GB"/>
        </w:rPr>
      </w:pPr>
      <w:r>
        <w:rPr>
          <w:rFonts w:ascii="Garamond" w:hAnsi="Garamond" w:cs="Arial"/>
          <w:color w:val="0D0D0D" w:themeColor="text1" w:themeTint="F2"/>
          <w:sz w:val="24"/>
          <w:szCs w:val="24"/>
          <w:lang w:val="fr-FR"/>
        </w:rPr>
        <w:t>L</w:t>
      </w:r>
      <w:r w:rsidR="003A335E">
        <w:rPr>
          <w:rFonts w:ascii="Garamond" w:hAnsi="Garamond" w:cs="Arial"/>
          <w:color w:val="0D0D0D" w:themeColor="text1" w:themeTint="F2"/>
          <w:sz w:val="24"/>
          <w:szCs w:val="24"/>
          <w:lang w:val="fr-FR"/>
        </w:rPr>
        <w:t xml:space="preserve">e </w:t>
      </w:r>
      <w:r w:rsidR="00034256" w:rsidRPr="00B71092">
        <w:rPr>
          <w:rFonts w:ascii="Garamond" w:hAnsi="Garamond" w:cs="Arial"/>
          <w:color w:val="0D0D0D" w:themeColor="text1" w:themeTint="F2"/>
          <w:sz w:val="24"/>
          <w:szCs w:val="24"/>
          <w:lang w:val="fr-FR"/>
        </w:rPr>
        <w:t xml:space="preserve">Rapport </w:t>
      </w:r>
      <w:r w:rsidR="00392331" w:rsidRPr="00B71092">
        <w:rPr>
          <w:rFonts w:ascii="Garamond" w:hAnsi="Garamond" w:cs="Arial"/>
          <w:color w:val="0D0D0D" w:themeColor="text1" w:themeTint="F2"/>
          <w:sz w:val="24"/>
          <w:szCs w:val="24"/>
          <w:lang w:val="fr-FR"/>
        </w:rPr>
        <w:t xml:space="preserve">provisoire </w:t>
      </w:r>
      <w:r w:rsidR="00FE02C4">
        <w:rPr>
          <w:rFonts w:ascii="Garamond" w:hAnsi="Garamond" w:cs="Arial"/>
          <w:color w:val="0D0D0D" w:themeColor="text1" w:themeTint="F2"/>
          <w:sz w:val="24"/>
          <w:szCs w:val="24"/>
          <w:lang w:val="fr-FR"/>
        </w:rPr>
        <w:t>du plan d’action</w:t>
      </w:r>
      <w:r w:rsidR="00B71092" w:rsidRPr="00B71092">
        <w:rPr>
          <w:rFonts w:ascii="Garamond" w:hAnsi="Garamond" w:cs="Arial"/>
          <w:color w:val="0D0D0D" w:themeColor="text1" w:themeTint="F2"/>
          <w:sz w:val="24"/>
          <w:szCs w:val="24"/>
          <w:lang w:val="fr-FR"/>
        </w:rPr>
        <w:t xml:space="preserve"> </w:t>
      </w:r>
      <w:r w:rsidR="003A335E">
        <w:rPr>
          <w:rFonts w:ascii="Garamond" w:hAnsi="Garamond" w:cs="Arial"/>
          <w:color w:val="0D0D0D" w:themeColor="text1" w:themeTint="F2"/>
          <w:sz w:val="24"/>
          <w:szCs w:val="24"/>
          <w:lang w:val="fr-FR"/>
        </w:rPr>
        <w:t xml:space="preserve">de la PN2E 35 </w:t>
      </w:r>
    </w:p>
    <w:p w14:paraId="6202F426" w14:textId="0CA36F41" w:rsidR="00034256" w:rsidRPr="003D6D2A" w:rsidRDefault="00414900" w:rsidP="007E6B25">
      <w:pPr>
        <w:pStyle w:val="Paragraphedeliste"/>
        <w:numPr>
          <w:ilvl w:val="0"/>
          <w:numId w:val="8"/>
        </w:numPr>
        <w:jc w:val="both"/>
        <w:rPr>
          <w:rFonts w:ascii="Garamond" w:eastAsia="Arial Unicode MS" w:hAnsi="Garamond"/>
          <w:color w:val="0D0D0D" w:themeColor="text1" w:themeTint="F2"/>
          <w:sz w:val="24"/>
          <w:szCs w:val="24"/>
          <w:lang w:val="fr-CH"/>
        </w:rPr>
      </w:pPr>
      <w:r>
        <w:rPr>
          <w:rFonts w:ascii="Garamond" w:hAnsi="Garamond" w:cs="Arial"/>
          <w:color w:val="0D0D0D" w:themeColor="text1" w:themeTint="F2"/>
          <w:sz w:val="24"/>
          <w:szCs w:val="24"/>
          <w:lang w:val="fr-CH"/>
        </w:rPr>
        <w:t>L</w:t>
      </w:r>
      <w:r w:rsidR="0054685D" w:rsidRPr="003D6D2A">
        <w:rPr>
          <w:rFonts w:ascii="Garamond" w:hAnsi="Garamond" w:cs="Arial"/>
          <w:color w:val="0D0D0D" w:themeColor="text1" w:themeTint="F2"/>
          <w:sz w:val="24"/>
          <w:szCs w:val="24"/>
          <w:lang w:val="fr-CH"/>
        </w:rPr>
        <w:t>e r</w:t>
      </w:r>
      <w:r w:rsidR="00EE6ADB" w:rsidRPr="003D6D2A">
        <w:rPr>
          <w:rFonts w:ascii="Garamond" w:hAnsi="Garamond" w:cs="Arial"/>
          <w:color w:val="0D0D0D" w:themeColor="text1" w:themeTint="F2"/>
          <w:sz w:val="24"/>
          <w:szCs w:val="24"/>
          <w:lang w:val="fr-CH"/>
        </w:rPr>
        <w:t xml:space="preserve">apport final </w:t>
      </w:r>
      <w:r w:rsidR="003A335E" w:rsidRPr="003D6D2A">
        <w:rPr>
          <w:rFonts w:ascii="Garamond" w:hAnsi="Garamond" w:cs="Arial"/>
          <w:color w:val="0D0D0D" w:themeColor="text1" w:themeTint="F2"/>
          <w:sz w:val="24"/>
          <w:szCs w:val="24"/>
          <w:lang w:val="fr-CH"/>
        </w:rPr>
        <w:t xml:space="preserve">du plan d’action de la PN2E 35 </w:t>
      </w:r>
      <w:r w:rsidR="00034256" w:rsidRPr="003D6D2A">
        <w:rPr>
          <w:rFonts w:ascii="Garamond" w:hAnsi="Garamond" w:cs="Arial"/>
          <w:color w:val="0D0D0D" w:themeColor="text1" w:themeTint="F2"/>
          <w:sz w:val="24"/>
          <w:szCs w:val="24"/>
          <w:lang w:val="fr-CH"/>
        </w:rPr>
        <w:t>intégrant les commentaires du BIT, du MIEPEEC ainsi que des participants à l’atelier</w:t>
      </w:r>
      <w:r w:rsidR="00392331" w:rsidRPr="003D6D2A">
        <w:rPr>
          <w:rFonts w:ascii="Garamond" w:hAnsi="Garamond" w:cs="Arial"/>
          <w:color w:val="0D0D0D" w:themeColor="text1" w:themeTint="F2"/>
          <w:sz w:val="24"/>
          <w:szCs w:val="24"/>
          <w:lang w:val="fr-CH"/>
        </w:rPr>
        <w:t xml:space="preserve"> de validation</w:t>
      </w:r>
      <w:r w:rsidR="00B71092" w:rsidRPr="003D6D2A">
        <w:rPr>
          <w:rFonts w:ascii="Garamond" w:hAnsi="Garamond" w:cs="Arial"/>
          <w:color w:val="0D0D0D" w:themeColor="text1" w:themeTint="F2"/>
          <w:sz w:val="24"/>
          <w:szCs w:val="24"/>
          <w:lang w:val="fr-CH"/>
        </w:rPr>
        <w:t xml:space="preserve"> </w:t>
      </w:r>
      <w:r w:rsidR="003A335E" w:rsidRPr="003D6D2A">
        <w:rPr>
          <w:rFonts w:ascii="Garamond" w:hAnsi="Garamond" w:cs="Arial"/>
          <w:color w:val="0D0D0D" w:themeColor="text1" w:themeTint="F2"/>
          <w:sz w:val="24"/>
          <w:szCs w:val="24"/>
          <w:lang w:val="fr-CH"/>
        </w:rPr>
        <w:t>d</w:t>
      </w:r>
      <w:r>
        <w:rPr>
          <w:rFonts w:ascii="Garamond" w:hAnsi="Garamond" w:cs="Arial"/>
          <w:color w:val="0D0D0D" w:themeColor="text1" w:themeTint="F2"/>
          <w:sz w:val="24"/>
          <w:szCs w:val="24"/>
          <w:lang w:val="fr-CH"/>
        </w:rPr>
        <w:t xml:space="preserve">u Plan d’Action de la PN2E 35. </w:t>
      </w:r>
      <w:r w:rsidR="003A335E" w:rsidRPr="003D6D2A">
        <w:rPr>
          <w:rFonts w:ascii="Garamond" w:hAnsi="Garamond" w:cs="Arial"/>
          <w:color w:val="0D0D0D" w:themeColor="text1" w:themeTint="F2"/>
          <w:sz w:val="24"/>
          <w:szCs w:val="24"/>
          <w:lang w:val="fr-CH"/>
        </w:rPr>
        <w:t xml:space="preserve"> </w:t>
      </w:r>
      <w:bookmarkEnd w:id="1"/>
      <w:bookmarkEnd w:id="3"/>
    </w:p>
    <w:p w14:paraId="3CC481B4" w14:textId="46BEFC3F" w:rsidR="003D6D2A" w:rsidRDefault="003D6D2A" w:rsidP="003D6D2A">
      <w:pPr>
        <w:jc w:val="both"/>
        <w:rPr>
          <w:rFonts w:ascii="Garamond" w:eastAsia="Arial Unicode MS" w:hAnsi="Garamond"/>
          <w:color w:val="0D0D0D" w:themeColor="text1" w:themeTint="F2"/>
          <w:sz w:val="24"/>
          <w:szCs w:val="24"/>
          <w:lang w:val="fr-CH"/>
        </w:rPr>
      </w:pPr>
    </w:p>
    <w:p w14:paraId="369BB419" w14:textId="2E964B7F" w:rsidR="000542A6" w:rsidRPr="00ED1EF8" w:rsidRDefault="000542A6" w:rsidP="000542A6">
      <w:pPr>
        <w:pBdr>
          <w:bottom w:val="single" w:sz="8" w:space="1" w:color="0070C0"/>
        </w:pBdr>
        <w:autoSpaceDE w:val="0"/>
        <w:autoSpaceDN w:val="0"/>
        <w:adjustRightInd w:val="0"/>
        <w:rPr>
          <w:rFonts w:ascii="Garamond" w:hAnsi="Garamond" w:cs="Arial"/>
          <w:b/>
          <w:bCs/>
          <w:color w:val="7030A0"/>
          <w:sz w:val="24"/>
          <w:szCs w:val="24"/>
          <w:lang w:val="fr-CH"/>
        </w:rPr>
      </w:pPr>
      <w:bookmarkStart w:id="4" w:name="_Hlk114135434"/>
      <w:r w:rsidRPr="00ED1EF8">
        <w:rPr>
          <w:rFonts w:ascii="Garamond" w:hAnsi="Garamond" w:cs="Arial"/>
          <w:b/>
          <w:bCs/>
          <w:color w:val="7030A0"/>
          <w:sz w:val="24"/>
          <w:szCs w:val="24"/>
          <w:lang w:val="fr-CH"/>
        </w:rPr>
        <w:t>IV : Rémunération</w:t>
      </w:r>
      <w:r w:rsidR="005C3127">
        <w:rPr>
          <w:rFonts w:ascii="Garamond" w:hAnsi="Garamond" w:cs="Arial"/>
          <w:b/>
          <w:bCs/>
          <w:color w:val="7030A0"/>
          <w:sz w:val="24"/>
          <w:szCs w:val="24"/>
          <w:lang w:val="fr-CH"/>
        </w:rPr>
        <w:t xml:space="preserve"> </w:t>
      </w:r>
      <w:r w:rsidR="00B15618">
        <w:rPr>
          <w:rFonts w:ascii="Garamond" w:hAnsi="Garamond" w:cs="Arial"/>
          <w:b/>
          <w:bCs/>
          <w:color w:val="7030A0"/>
          <w:sz w:val="24"/>
          <w:szCs w:val="24"/>
          <w:lang w:val="fr-CH"/>
        </w:rPr>
        <w:t xml:space="preserve">et </w:t>
      </w:r>
      <w:r w:rsidRPr="00ED1EF8">
        <w:rPr>
          <w:rFonts w:ascii="Garamond" w:hAnsi="Garamond" w:cs="Arial"/>
          <w:b/>
          <w:bCs/>
          <w:color w:val="7030A0"/>
          <w:sz w:val="24"/>
          <w:szCs w:val="24"/>
          <w:lang w:val="fr-CH"/>
        </w:rPr>
        <w:t xml:space="preserve">délais </w:t>
      </w:r>
      <w:r>
        <w:rPr>
          <w:rFonts w:ascii="Garamond" w:hAnsi="Garamond" w:cs="Arial"/>
          <w:b/>
          <w:bCs/>
          <w:color w:val="7030A0"/>
          <w:sz w:val="24"/>
          <w:szCs w:val="24"/>
          <w:lang w:val="fr-CH"/>
        </w:rPr>
        <w:t xml:space="preserve">de réalisation </w:t>
      </w:r>
    </w:p>
    <w:bookmarkEnd w:id="4"/>
    <w:p w14:paraId="0E58E89E" w14:textId="77777777" w:rsidR="000542A6" w:rsidRPr="00A46623" w:rsidRDefault="000542A6" w:rsidP="000542A6">
      <w:pPr>
        <w:autoSpaceDE w:val="0"/>
        <w:autoSpaceDN w:val="0"/>
        <w:adjustRightInd w:val="0"/>
        <w:jc w:val="both"/>
        <w:rPr>
          <w:rFonts w:ascii="Garamond" w:hAnsi="Garamond" w:cs="Arial"/>
          <w:b/>
          <w:bCs/>
          <w:color w:val="0D0D0D" w:themeColor="text1" w:themeTint="F2"/>
          <w:sz w:val="24"/>
          <w:szCs w:val="24"/>
          <w:lang w:val="fr-CH"/>
        </w:rPr>
      </w:pPr>
    </w:p>
    <w:p w14:paraId="5FF745CD" w14:textId="2754C86C" w:rsidR="000542A6" w:rsidRDefault="00414900" w:rsidP="00414900">
      <w:pPr>
        <w:autoSpaceDE w:val="0"/>
        <w:autoSpaceDN w:val="0"/>
        <w:adjustRightInd w:val="0"/>
        <w:jc w:val="both"/>
        <w:rPr>
          <w:rFonts w:ascii="Garamond" w:hAnsi="Garamond" w:cs="Arial"/>
          <w:color w:val="0D0D0D" w:themeColor="text1" w:themeTint="F2"/>
          <w:sz w:val="24"/>
          <w:szCs w:val="24"/>
          <w:lang w:val="fr-CH"/>
        </w:rPr>
      </w:pPr>
      <w:r w:rsidRPr="00EC3998">
        <w:rPr>
          <w:rFonts w:ascii="Times New Roman" w:hAnsi="Times New Roman" w:cs="Times New Roman"/>
          <w:color w:val="0D0D0D" w:themeColor="text1" w:themeTint="F2"/>
          <w:sz w:val="24"/>
          <w:szCs w:val="24"/>
          <w:lang w:val="fr-CH"/>
        </w:rPr>
        <w:t>La durée totale d</w:t>
      </w:r>
      <w:r>
        <w:rPr>
          <w:rFonts w:ascii="Times New Roman" w:hAnsi="Times New Roman" w:cs="Times New Roman"/>
          <w:color w:val="0D0D0D" w:themeColor="text1" w:themeTint="F2"/>
          <w:sz w:val="24"/>
          <w:szCs w:val="24"/>
          <w:lang w:val="fr-CH"/>
        </w:rPr>
        <w:t>e la présente consultation est e</w:t>
      </w:r>
      <w:r w:rsidRPr="00EC3998">
        <w:rPr>
          <w:rFonts w:ascii="Times New Roman" w:hAnsi="Times New Roman" w:cs="Times New Roman"/>
          <w:color w:val="0D0D0D" w:themeColor="text1" w:themeTint="F2"/>
          <w:sz w:val="24"/>
          <w:szCs w:val="24"/>
          <w:lang w:val="fr-CH"/>
        </w:rPr>
        <w:t xml:space="preserve">stimée à </w:t>
      </w:r>
      <w:r>
        <w:rPr>
          <w:rFonts w:ascii="Times New Roman" w:hAnsi="Times New Roman" w:cs="Times New Roman"/>
          <w:color w:val="0D0D0D" w:themeColor="text1" w:themeTint="F2"/>
          <w:sz w:val="24"/>
          <w:szCs w:val="24"/>
          <w:lang w:val="fr-CH"/>
        </w:rPr>
        <w:t>38 j</w:t>
      </w:r>
      <w:r w:rsidRPr="00EC3998">
        <w:rPr>
          <w:rFonts w:ascii="Times New Roman" w:hAnsi="Times New Roman" w:cs="Times New Roman"/>
          <w:color w:val="0D0D0D" w:themeColor="text1" w:themeTint="F2"/>
          <w:sz w:val="24"/>
          <w:szCs w:val="24"/>
          <w:lang w:val="fr-CH"/>
        </w:rPr>
        <w:t xml:space="preserve">ours de travail à raison de 500 USD/jour pour la période allant du </w:t>
      </w:r>
      <w:r w:rsidR="00DF35C6">
        <w:rPr>
          <w:rFonts w:ascii="Times New Roman" w:hAnsi="Times New Roman" w:cs="Times New Roman"/>
          <w:color w:val="0D0D0D" w:themeColor="text1" w:themeTint="F2"/>
          <w:sz w:val="24"/>
          <w:szCs w:val="24"/>
          <w:lang w:val="fr-CH"/>
        </w:rPr>
        <w:t xml:space="preserve">30 Juin 2023 </w:t>
      </w:r>
      <w:r w:rsidR="00CE1BD9">
        <w:rPr>
          <w:rFonts w:ascii="Times New Roman" w:hAnsi="Times New Roman" w:cs="Times New Roman"/>
          <w:color w:val="0D0D0D" w:themeColor="text1" w:themeTint="F2"/>
          <w:sz w:val="24"/>
          <w:szCs w:val="24"/>
          <w:lang w:val="fr-CH"/>
        </w:rPr>
        <w:t xml:space="preserve">au </w:t>
      </w:r>
      <w:r w:rsidR="003A335E">
        <w:rPr>
          <w:rFonts w:ascii="Garamond" w:hAnsi="Garamond" w:cs="Arial"/>
          <w:color w:val="0D0D0D" w:themeColor="text1" w:themeTint="F2"/>
          <w:sz w:val="24"/>
          <w:szCs w:val="24"/>
          <w:lang w:val="fr-CH"/>
        </w:rPr>
        <w:t xml:space="preserve">30 </w:t>
      </w:r>
      <w:r w:rsidR="007C370B">
        <w:rPr>
          <w:rFonts w:ascii="Garamond" w:hAnsi="Garamond" w:cs="Arial"/>
          <w:color w:val="0D0D0D" w:themeColor="text1" w:themeTint="F2"/>
          <w:sz w:val="24"/>
          <w:szCs w:val="24"/>
          <w:lang w:val="fr-CH"/>
        </w:rPr>
        <w:t xml:space="preserve">Décembre </w:t>
      </w:r>
      <w:r w:rsidR="000542A6">
        <w:rPr>
          <w:rFonts w:ascii="Garamond" w:hAnsi="Garamond" w:cs="Arial"/>
          <w:color w:val="0D0D0D" w:themeColor="text1" w:themeTint="F2"/>
          <w:sz w:val="24"/>
          <w:szCs w:val="24"/>
          <w:lang w:val="fr-CH"/>
        </w:rPr>
        <w:t xml:space="preserve">2023. </w:t>
      </w:r>
    </w:p>
    <w:p w14:paraId="6C352510" w14:textId="31208F0D" w:rsidR="007C370B" w:rsidRDefault="007C370B" w:rsidP="00414900">
      <w:pPr>
        <w:autoSpaceDE w:val="0"/>
        <w:autoSpaceDN w:val="0"/>
        <w:adjustRightInd w:val="0"/>
        <w:jc w:val="both"/>
        <w:rPr>
          <w:rFonts w:ascii="Garamond" w:hAnsi="Garamond" w:cs="Arial"/>
          <w:color w:val="0D0D0D" w:themeColor="text1" w:themeTint="F2"/>
          <w:sz w:val="24"/>
          <w:szCs w:val="24"/>
          <w:lang w:val="fr-CH"/>
        </w:rPr>
      </w:pPr>
      <w:r>
        <w:rPr>
          <w:rFonts w:ascii="Garamond" w:hAnsi="Garamond" w:cs="Arial"/>
          <w:color w:val="0D0D0D" w:themeColor="text1" w:themeTint="F2"/>
          <w:sz w:val="24"/>
          <w:szCs w:val="24"/>
          <w:lang w:val="fr-CH"/>
        </w:rPr>
        <w:t xml:space="preserve">Montant total de la prestation : 500 USD X 38j = </w:t>
      </w:r>
      <w:r w:rsidRPr="007C370B">
        <w:rPr>
          <w:rFonts w:ascii="Garamond" w:hAnsi="Garamond" w:cs="Arial"/>
          <w:b/>
          <w:bCs/>
          <w:color w:val="0D0D0D" w:themeColor="text1" w:themeTint="F2"/>
          <w:sz w:val="24"/>
          <w:szCs w:val="24"/>
          <w:lang w:val="fr-CH"/>
        </w:rPr>
        <w:t>19 000 USD</w:t>
      </w:r>
      <w:r>
        <w:rPr>
          <w:rFonts w:ascii="Garamond" w:hAnsi="Garamond" w:cs="Arial"/>
          <w:color w:val="0D0D0D" w:themeColor="text1" w:themeTint="F2"/>
          <w:sz w:val="24"/>
          <w:szCs w:val="24"/>
          <w:lang w:val="fr-CH"/>
        </w:rPr>
        <w:t xml:space="preserve"> </w:t>
      </w:r>
    </w:p>
    <w:p w14:paraId="200F6A4C" w14:textId="0A6DB184" w:rsidR="006B5ECD" w:rsidRDefault="006B5ECD" w:rsidP="000542A6">
      <w:pPr>
        <w:autoSpaceDE w:val="0"/>
        <w:autoSpaceDN w:val="0"/>
        <w:adjustRightInd w:val="0"/>
        <w:jc w:val="both"/>
        <w:rPr>
          <w:rFonts w:ascii="Garamond" w:hAnsi="Garamond" w:cs="Arial"/>
          <w:color w:val="0D0D0D" w:themeColor="text1" w:themeTint="F2"/>
          <w:sz w:val="24"/>
          <w:szCs w:val="24"/>
          <w:lang w:val="fr-CH"/>
        </w:rPr>
      </w:pPr>
    </w:p>
    <w:p w14:paraId="3C6D3036" w14:textId="77777777" w:rsidR="006B5ECD" w:rsidRPr="007C370B" w:rsidRDefault="006B5ECD" w:rsidP="006B5ECD">
      <w:pPr>
        <w:jc w:val="both"/>
        <w:rPr>
          <w:rFonts w:ascii="Garamond" w:hAnsi="Garamond" w:cs="Cambria"/>
          <w:sz w:val="24"/>
          <w:szCs w:val="24"/>
          <w:lang w:val="fr-FR"/>
        </w:rPr>
      </w:pPr>
      <w:r w:rsidRPr="007C370B">
        <w:rPr>
          <w:rFonts w:ascii="Garamond" w:hAnsi="Garamond" w:cs="Cambria"/>
          <w:sz w:val="24"/>
          <w:szCs w:val="24"/>
          <w:lang w:val="fr-FR"/>
        </w:rPr>
        <w:t xml:space="preserve">Modalité de paiement : </w:t>
      </w:r>
    </w:p>
    <w:p w14:paraId="6BA6A075" w14:textId="77777777" w:rsidR="00CE1BD9" w:rsidRDefault="00CE1BD9" w:rsidP="006B5ECD">
      <w:pPr>
        <w:pStyle w:val="Paragraphedeliste"/>
        <w:numPr>
          <w:ilvl w:val="0"/>
          <w:numId w:val="16"/>
        </w:numPr>
        <w:jc w:val="both"/>
        <w:rPr>
          <w:rFonts w:ascii="Garamond" w:hAnsi="Garamond" w:cs="Cambria"/>
          <w:sz w:val="24"/>
          <w:szCs w:val="24"/>
          <w:lang w:val="fr-FR"/>
        </w:rPr>
      </w:pPr>
      <w:bookmarkStart w:id="5" w:name="_Hlk135306258"/>
      <w:r>
        <w:rPr>
          <w:rFonts w:ascii="Garamond" w:hAnsi="Garamond" w:cs="Cambria"/>
          <w:sz w:val="24"/>
          <w:szCs w:val="24"/>
          <w:lang w:val="fr-FR"/>
        </w:rPr>
        <w:t xml:space="preserve">30 </w:t>
      </w:r>
      <w:r w:rsidR="006B5ECD" w:rsidRPr="006B5ECD">
        <w:rPr>
          <w:rFonts w:ascii="Garamond" w:hAnsi="Garamond" w:cs="Cambria"/>
          <w:sz w:val="24"/>
          <w:szCs w:val="24"/>
          <w:lang w:val="fr-FR"/>
        </w:rPr>
        <w:t>% du montant sera payé après v</w:t>
      </w:r>
      <w:r w:rsidR="006B5ECD">
        <w:rPr>
          <w:rFonts w:ascii="Garamond" w:hAnsi="Garamond" w:cs="Cambria"/>
          <w:sz w:val="24"/>
          <w:szCs w:val="24"/>
          <w:lang w:val="fr-FR"/>
        </w:rPr>
        <w:t>alidation du BIT d</w:t>
      </w:r>
      <w:r>
        <w:rPr>
          <w:rFonts w:ascii="Garamond" w:hAnsi="Garamond" w:cs="Cambria"/>
          <w:sz w:val="24"/>
          <w:szCs w:val="24"/>
          <w:lang w:val="fr-FR"/>
        </w:rPr>
        <w:t xml:space="preserve">u </w:t>
      </w:r>
      <w:r w:rsidR="006B5ECD">
        <w:rPr>
          <w:rFonts w:ascii="Garamond" w:hAnsi="Garamond" w:cs="Cambria"/>
          <w:sz w:val="24"/>
          <w:szCs w:val="24"/>
          <w:lang w:val="fr-FR"/>
        </w:rPr>
        <w:t>livrables 1</w:t>
      </w:r>
      <w:r>
        <w:rPr>
          <w:rFonts w:ascii="Garamond" w:hAnsi="Garamond" w:cs="Cambria"/>
          <w:sz w:val="24"/>
          <w:szCs w:val="24"/>
          <w:lang w:val="fr-FR"/>
        </w:rPr>
        <w:t xml:space="preserve"> </w:t>
      </w:r>
    </w:p>
    <w:bookmarkEnd w:id="5"/>
    <w:p w14:paraId="532B98C9" w14:textId="3E17E496" w:rsidR="00CE1BD9" w:rsidRDefault="00CE1BD9" w:rsidP="00CE1BD9">
      <w:pPr>
        <w:pStyle w:val="Paragraphedeliste"/>
        <w:numPr>
          <w:ilvl w:val="0"/>
          <w:numId w:val="16"/>
        </w:numPr>
        <w:jc w:val="both"/>
        <w:rPr>
          <w:rFonts w:ascii="Garamond" w:hAnsi="Garamond" w:cs="Cambria"/>
          <w:sz w:val="24"/>
          <w:szCs w:val="24"/>
          <w:lang w:val="fr-FR"/>
        </w:rPr>
      </w:pPr>
      <w:r>
        <w:rPr>
          <w:rFonts w:ascii="Garamond" w:hAnsi="Garamond" w:cs="Cambria"/>
          <w:sz w:val="24"/>
          <w:szCs w:val="24"/>
          <w:lang w:val="fr-FR"/>
        </w:rPr>
        <w:t xml:space="preserve">30 </w:t>
      </w:r>
      <w:r w:rsidRPr="006B5ECD">
        <w:rPr>
          <w:rFonts w:ascii="Garamond" w:hAnsi="Garamond" w:cs="Cambria"/>
          <w:sz w:val="24"/>
          <w:szCs w:val="24"/>
          <w:lang w:val="fr-FR"/>
        </w:rPr>
        <w:t>% du montant sera payé après v</w:t>
      </w:r>
      <w:r>
        <w:rPr>
          <w:rFonts w:ascii="Garamond" w:hAnsi="Garamond" w:cs="Cambria"/>
          <w:sz w:val="24"/>
          <w:szCs w:val="24"/>
          <w:lang w:val="fr-FR"/>
        </w:rPr>
        <w:t xml:space="preserve">alidation du BIT du livrables 2 </w:t>
      </w:r>
    </w:p>
    <w:p w14:paraId="6DA48069" w14:textId="2938A75F" w:rsidR="006B5ECD" w:rsidRDefault="00CE1BD9" w:rsidP="006B5ECD">
      <w:pPr>
        <w:pStyle w:val="Paragraphedeliste"/>
        <w:numPr>
          <w:ilvl w:val="0"/>
          <w:numId w:val="16"/>
        </w:numPr>
        <w:jc w:val="both"/>
        <w:rPr>
          <w:rFonts w:ascii="Garamond" w:hAnsi="Garamond" w:cs="Cambria"/>
          <w:sz w:val="24"/>
          <w:szCs w:val="24"/>
          <w:lang w:val="fr-FR"/>
        </w:rPr>
      </w:pPr>
      <w:r>
        <w:rPr>
          <w:rFonts w:ascii="Garamond" w:hAnsi="Garamond" w:cs="Cambria"/>
          <w:sz w:val="24"/>
          <w:szCs w:val="24"/>
          <w:lang w:val="fr-FR"/>
        </w:rPr>
        <w:t>4</w:t>
      </w:r>
      <w:r w:rsidR="006B5ECD" w:rsidRPr="006B5ECD">
        <w:rPr>
          <w:rFonts w:ascii="Garamond" w:hAnsi="Garamond" w:cs="Cambria"/>
          <w:sz w:val="24"/>
          <w:szCs w:val="24"/>
          <w:lang w:val="fr-FR"/>
        </w:rPr>
        <w:t>0 % du montant sera payé après v</w:t>
      </w:r>
      <w:r w:rsidR="006B5ECD">
        <w:rPr>
          <w:rFonts w:ascii="Garamond" w:hAnsi="Garamond" w:cs="Cambria"/>
          <w:sz w:val="24"/>
          <w:szCs w:val="24"/>
          <w:lang w:val="fr-FR"/>
        </w:rPr>
        <w:t>alidation du BIT d</w:t>
      </w:r>
      <w:r>
        <w:rPr>
          <w:rFonts w:ascii="Garamond" w:hAnsi="Garamond" w:cs="Cambria"/>
          <w:sz w:val="24"/>
          <w:szCs w:val="24"/>
          <w:lang w:val="fr-FR"/>
        </w:rPr>
        <w:t>u</w:t>
      </w:r>
      <w:r w:rsidR="006B5ECD">
        <w:rPr>
          <w:rFonts w:ascii="Garamond" w:hAnsi="Garamond" w:cs="Cambria"/>
          <w:sz w:val="24"/>
          <w:szCs w:val="24"/>
          <w:lang w:val="fr-FR"/>
        </w:rPr>
        <w:t xml:space="preserve"> livrable</w:t>
      </w:r>
      <w:r>
        <w:rPr>
          <w:rFonts w:ascii="Garamond" w:hAnsi="Garamond" w:cs="Cambria"/>
          <w:sz w:val="24"/>
          <w:szCs w:val="24"/>
          <w:lang w:val="fr-FR"/>
        </w:rPr>
        <w:t xml:space="preserve"> 3. </w:t>
      </w:r>
    </w:p>
    <w:p w14:paraId="5ADF3F7E" w14:textId="56DB1775" w:rsidR="006B5ECD" w:rsidRDefault="006B5ECD" w:rsidP="006B5ECD">
      <w:pPr>
        <w:pStyle w:val="Paragraphedeliste"/>
        <w:jc w:val="both"/>
        <w:rPr>
          <w:rFonts w:ascii="Garamond" w:hAnsi="Garamond" w:cs="Cambria"/>
          <w:sz w:val="24"/>
          <w:szCs w:val="24"/>
          <w:lang w:val="fr-FR"/>
        </w:rPr>
      </w:pPr>
    </w:p>
    <w:p w14:paraId="2E1FD8EB" w14:textId="77777777" w:rsidR="00B15618" w:rsidRPr="006B5ECD" w:rsidRDefault="00B15618" w:rsidP="006B5ECD">
      <w:pPr>
        <w:pStyle w:val="Paragraphedeliste"/>
        <w:jc w:val="both"/>
        <w:rPr>
          <w:rFonts w:ascii="Garamond" w:hAnsi="Garamond" w:cs="Cambria"/>
          <w:sz w:val="24"/>
          <w:szCs w:val="24"/>
          <w:lang w:val="fr-FR"/>
        </w:rPr>
      </w:pPr>
    </w:p>
    <w:tbl>
      <w:tblPr>
        <w:tblW w:w="8638" w:type="dxa"/>
        <w:jc w:val="center"/>
        <w:tblLayout w:type="fixed"/>
        <w:tblCellMar>
          <w:top w:w="29" w:type="dxa"/>
          <w:left w:w="0" w:type="dxa"/>
          <w:right w:w="0" w:type="dxa"/>
        </w:tblCellMar>
        <w:tblLook w:val="0000" w:firstRow="0" w:lastRow="0" w:firstColumn="0" w:lastColumn="0" w:noHBand="0" w:noVBand="0"/>
      </w:tblPr>
      <w:tblGrid>
        <w:gridCol w:w="4957"/>
        <w:gridCol w:w="1705"/>
        <w:gridCol w:w="988"/>
        <w:gridCol w:w="988"/>
      </w:tblGrid>
      <w:tr w:rsidR="007C370B" w:rsidRPr="00CB671C" w14:paraId="1674E0D7" w14:textId="4511D5E1" w:rsidTr="007C370B">
        <w:trPr>
          <w:cantSplit/>
          <w:jc w:val="center"/>
        </w:trPr>
        <w:tc>
          <w:tcPr>
            <w:tcW w:w="4957" w:type="dxa"/>
            <w:tcBorders>
              <w:top w:val="single" w:sz="4" w:space="0" w:color="auto"/>
              <w:left w:val="single" w:sz="4" w:space="0" w:color="auto"/>
              <w:bottom w:val="single" w:sz="4" w:space="0" w:color="000000"/>
              <w:right w:val="single" w:sz="4" w:space="0" w:color="000000"/>
            </w:tcBorders>
          </w:tcPr>
          <w:p w14:paraId="5D706AFD" w14:textId="77777777" w:rsidR="007C370B" w:rsidRPr="0044463A" w:rsidRDefault="007C370B" w:rsidP="007C370B">
            <w:pPr>
              <w:autoSpaceDE w:val="0"/>
              <w:autoSpaceDN w:val="0"/>
              <w:adjustRightInd w:val="0"/>
              <w:rPr>
                <w:rFonts w:ascii="Garamond" w:hAnsi="Garamond" w:cs="Arial"/>
                <w:b/>
                <w:bCs/>
                <w:color w:val="0D0D0D"/>
                <w:sz w:val="20"/>
                <w:szCs w:val="20"/>
              </w:rPr>
            </w:pPr>
            <w:r w:rsidRPr="0044463A">
              <w:rPr>
                <w:rFonts w:ascii="Garamond" w:hAnsi="Garamond" w:cs="Arial"/>
                <w:b/>
                <w:bCs/>
                <w:color w:val="0D0D0D"/>
                <w:sz w:val="20"/>
                <w:szCs w:val="20"/>
              </w:rPr>
              <w:lastRenderedPageBreak/>
              <w:t xml:space="preserve">Livrables : </w:t>
            </w:r>
          </w:p>
        </w:tc>
        <w:tc>
          <w:tcPr>
            <w:tcW w:w="1705" w:type="dxa"/>
            <w:tcBorders>
              <w:top w:val="single" w:sz="4" w:space="0" w:color="auto"/>
              <w:left w:val="single" w:sz="4" w:space="0" w:color="000000"/>
              <w:bottom w:val="single" w:sz="4" w:space="0" w:color="000000"/>
              <w:right w:val="single" w:sz="4" w:space="0" w:color="000000"/>
            </w:tcBorders>
          </w:tcPr>
          <w:p w14:paraId="3CC55CE7" w14:textId="77777777" w:rsidR="007C370B" w:rsidRPr="0044463A" w:rsidRDefault="007C370B" w:rsidP="007C370B">
            <w:pPr>
              <w:autoSpaceDE w:val="0"/>
              <w:autoSpaceDN w:val="0"/>
              <w:adjustRightInd w:val="0"/>
              <w:jc w:val="center"/>
              <w:rPr>
                <w:rFonts w:ascii="Garamond" w:hAnsi="Garamond" w:cs="Arial"/>
                <w:b/>
                <w:bCs/>
                <w:color w:val="0D0D0D"/>
                <w:sz w:val="20"/>
                <w:szCs w:val="20"/>
                <w:lang w:val="fr-FR"/>
              </w:rPr>
            </w:pPr>
            <w:r w:rsidRPr="0044463A">
              <w:rPr>
                <w:rFonts w:ascii="Garamond" w:hAnsi="Garamond" w:cs="Arial"/>
                <w:b/>
                <w:bCs/>
                <w:color w:val="0D0D0D"/>
                <w:sz w:val="20"/>
                <w:szCs w:val="20"/>
                <w:lang w:val="fr-FR"/>
              </w:rPr>
              <w:t xml:space="preserve">Dates limites de livraison </w:t>
            </w:r>
          </w:p>
        </w:tc>
        <w:tc>
          <w:tcPr>
            <w:tcW w:w="988" w:type="dxa"/>
            <w:tcBorders>
              <w:top w:val="single" w:sz="4" w:space="0" w:color="auto"/>
              <w:left w:val="single" w:sz="4" w:space="0" w:color="000000"/>
              <w:bottom w:val="single" w:sz="4" w:space="0" w:color="auto"/>
              <w:right w:val="single" w:sz="4" w:space="0" w:color="auto"/>
            </w:tcBorders>
          </w:tcPr>
          <w:p w14:paraId="7A89E075" w14:textId="765575EA" w:rsidR="007C370B" w:rsidRPr="0044463A" w:rsidRDefault="007C370B" w:rsidP="007C370B">
            <w:pPr>
              <w:autoSpaceDE w:val="0"/>
              <w:autoSpaceDN w:val="0"/>
              <w:adjustRightInd w:val="0"/>
              <w:jc w:val="center"/>
              <w:rPr>
                <w:rFonts w:ascii="Garamond" w:hAnsi="Garamond" w:cs="Arial"/>
                <w:b/>
                <w:bCs/>
                <w:color w:val="0D0D0D"/>
                <w:sz w:val="20"/>
                <w:szCs w:val="20"/>
                <w:lang w:val="fr-FR"/>
              </w:rPr>
            </w:pPr>
            <w:r>
              <w:rPr>
                <w:rFonts w:ascii="Garamond" w:hAnsi="Garamond" w:cs="Arial"/>
                <w:b/>
                <w:bCs/>
                <w:color w:val="0D0D0D"/>
                <w:sz w:val="20"/>
                <w:szCs w:val="20"/>
                <w:lang w:val="fr-FR"/>
              </w:rPr>
              <w:t xml:space="preserve">Nbre de jours </w:t>
            </w:r>
            <w:r w:rsidRPr="0044463A">
              <w:rPr>
                <w:rFonts w:ascii="Garamond" w:hAnsi="Garamond" w:cs="Arial"/>
                <w:b/>
                <w:bCs/>
                <w:color w:val="0D0D0D"/>
                <w:sz w:val="20"/>
                <w:szCs w:val="20"/>
                <w:lang w:val="fr-FR"/>
              </w:rPr>
              <w:t xml:space="preserve">  </w:t>
            </w:r>
          </w:p>
        </w:tc>
        <w:tc>
          <w:tcPr>
            <w:tcW w:w="988" w:type="dxa"/>
            <w:tcBorders>
              <w:top w:val="single" w:sz="4" w:space="0" w:color="auto"/>
              <w:left w:val="single" w:sz="4" w:space="0" w:color="000000"/>
              <w:bottom w:val="single" w:sz="4" w:space="0" w:color="auto"/>
              <w:right w:val="single" w:sz="4" w:space="0" w:color="auto"/>
            </w:tcBorders>
          </w:tcPr>
          <w:p w14:paraId="5846F473" w14:textId="4E6B1FE0" w:rsidR="007C370B" w:rsidRPr="0044463A" w:rsidRDefault="007C370B" w:rsidP="007C370B">
            <w:pPr>
              <w:autoSpaceDE w:val="0"/>
              <w:autoSpaceDN w:val="0"/>
              <w:adjustRightInd w:val="0"/>
              <w:jc w:val="center"/>
              <w:rPr>
                <w:rFonts w:ascii="Garamond" w:hAnsi="Garamond" w:cs="Arial"/>
                <w:b/>
                <w:bCs/>
                <w:color w:val="0D0D0D"/>
                <w:sz w:val="20"/>
                <w:szCs w:val="20"/>
                <w:lang w:val="fr-FR"/>
              </w:rPr>
            </w:pPr>
            <w:r w:rsidRPr="0044463A">
              <w:rPr>
                <w:rFonts w:ascii="Garamond" w:hAnsi="Garamond" w:cs="Arial"/>
                <w:b/>
                <w:bCs/>
                <w:color w:val="0D0D0D"/>
                <w:sz w:val="20"/>
                <w:szCs w:val="20"/>
                <w:lang w:val="fr-FR"/>
              </w:rPr>
              <w:t xml:space="preserve">% de paiement  </w:t>
            </w:r>
          </w:p>
        </w:tc>
      </w:tr>
      <w:tr w:rsidR="00902F2D" w:rsidRPr="00D15422" w14:paraId="37276821" w14:textId="351CC635" w:rsidTr="007C370B">
        <w:trPr>
          <w:cantSplit/>
          <w:jc w:val="center"/>
        </w:trPr>
        <w:tc>
          <w:tcPr>
            <w:tcW w:w="4957" w:type="dxa"/>
            <w:tcBorders>
              <w:top w:val="single" w:sz="4" w:space="0" w:color="000000"/>
              <w:left w:val="single" w:sz="4" w:space="0" w:color="auto"/>
              <w:bottom w:val="single" w:sz="4" w:space="0" w:color="000000"/>
              <w:right w:val="single" w:sz="4" w:space="0" w:color="000000"/>
            </w:tcBorders>
          </w:tcPr>
          <w:p w14:paraId="6B895EC2" w14:textId="77777777" w:rsidR="00902F2D" w:rsidRDefault="00902F2D" w:rsidP="00902F2D">
            <w:pPr>
              <w:autoSpaceDE w:val="0"/>
              <w:autoSpaceDN w:val="0"/>
              <w:adjustRightInd w:val="0"/>
              <w:jc w:val="both"/>
              <w:rPr>
                <w:rFonts w:ascii="Garamond" w:eastAsia="Calibri" w:hAnsi="Garamond" w:cs="Times New Roman"/>
                <w:color w:val="000000"/>
                <w:sz w:val="24"/>
                <w:szCs w:val="24"/>
                <w:lang w:val="fr-FR"/>
              </w:rPr>
            </w:pPr>
            <w:r w:rsidRPr="005C3127">
              <w:rPr>
                <w:rFonts w:ascii="Garamond" w:eastAsia="Calibri" w:hAnsi="Garamond" w:cs="Times New Roman"/>
                <w:b/>
                <w:bCs/>
                <w:color w:val="000000"/>
                <w:sz w:val="24"/>
                <w:szCs w:val="24"/>
                <w:lang w:val="fr-FR"/>
              </w:rPr>
              <w:t>Livrable 1</w:t>
            </w:r>
            <w:r>
              <w:rPr>
                <w:rFonts w:ascii="Garamond" w:eastAsia="Calibri" w:hAnsi="Garamond" w:cs="Times New Roman"/>
                <w:color w:val="000000"/>
                <w:sz w:val="24"/>
                <w:szCs w:val="24"/>
                <w:lang w:val="fr-FR"/>
              </w:rPr>
              <w:t xml:space="preserve"> : </w:t>
            </w:r>
            <w:r w:rsidRPr="00CE1BD9">
              <w:rPr>
                <w:rFonts w:ascii="Garamond" w:eastAsia="Calibri" w:hAnsi="Garamond" w:cs="Times New Roman"/>
                <w:color w:val="000000"/>
                <w:sz w:val="24"/>
                <w:szCs w:val="24"/>
                <w:lang w:val="fr-FR"/>
              </w:rPr>
              <w:t xml:space="preserve">Le rapport méthodologique </w:t>
            </w:r>
          </w:p>
          <w:p w14:paraId="2EDE70B0" w14:textId="77777777" w:rsidR="00902F2D" w:rsidRDefault="00902F2D" w:rsidP="00902F2D">
            <w:pPr>
              <w:autoSpaceDE w:val="0"/>
              <w:autoSpaceDN w:val="0"/>
              <w:adjustRightInd w:val="0"/>
              <w:jc w:val="both"/>
              <w:rPr>
                <w:rFonts w:ascii="Garamond" w:eastAsia="Calibri" w:hAnsi="Garamond" w:cs="Times New Roman"/>
                <w:color w:val="000000"/>
                <w:sz w:val="24"/>
                <w:szCs w:val="24"/>
                <w:lang w:val="fr-FR"/>
              </w:rPr>
            </w:pPr>
            <w:r w:rsidRPr="00CE1BD9">
              <w:rPr>
                <w:rFonts w:ascii="Garamond" w:eastAsia="Calibri" w:hAnsi="Garamond" w:cs="Times New Roman"/>
                <w:color w:val="000000"/>
                <w:sz w:val="24"/>
                <w:szCs w:val="24"/>
                <w:lang w:val="fr-FR"/>
              </w:rPr>
              <w:t xml:space="preserve">de formulation du plan d’action de la PN2E 35, </w:t>
            </w:r>
          </w:p>
          <w:p w14:paraId="61025FC8" w14:textId="77777777" w:rsidR="00902F2D" w:rsidRDefault="00902F2D" w:rsidP="00902F2D">
            <w:pPr>
              <w:autoSpaceDE w:val="0"/>
              <w:autoSpaceDN w:val="0"/>
              <w:adjustRightInd w:val="0"/>
              <w:jc w:val="both"/>
              <w:rPr>
                <w:rFonts w:ascii="Garamond" w:eastAsia="Calibri" w:hAnsi="Garamond" w:cs="Times New Roman"/>
                <w:color w:val="000000"/>
                <w:sz w:val="24"/>
                <w:szCs w:val="24"/>
                <w:lang w:val="fr-FR"/>
              </w:rPr>
            </w:pPr>
            <w:r w:rsidRPr="00CE1BD9">
              <w:rPr>
                <w:rFonts w:ascii="Garamond" w:eastAsia="Calibri" w:hAnsi="Garamond" w:cs="Times New Roman"/>
                <w:color w:val="000000"/>
                <w:sz w:val="24"/>
                <w:szCs w:val="24"/>
                <w:lang w:val="fr-FR"/>
              </w:rPr>
              <w:t xml:space="preserve">fixant notamment les parties à consulter ainsi </w:t>
            </w:r>
          </w:p>
          <w:p w14:paraId="22ED82E3" w14:textId="77777777" w:rsidR="00902F2D" w:rsidRDefault="00902F2D" w:rsidP="00902F2D">
            <w:pPr>
              <w:autoSpaceDE w:val="0"/>
              <w:autoSpaceDN w:val="0"/>
              <w:adjustRightInd w:val="0"/>
              <w:jc w:val="both"/>
              <w:rPr>
                <w:rFonts w:ascii="Garamond" w:eastAsia="Calibri" w:hAnsi="Garamond" w:cs="Times New Roman"/>
                <w:color w:val="000000"/>
                <w:sz w:val="24"/>
                <w:szCs w:val="24"/>
                <w:lang w:val="fr-FR"/>
              </w:rPr>
            </w:pPr>
            <w:r w:rsidRPr="00CE1BD9">
              <w:rPr>
                <w:rFonts w:ascii="Garamond" w:eastAsia="Calibri" w:hAnsi="Garamond" w:cs="Times New Roman"/>
                <w:color w:val="000000"/>
                <w:sz w:val="24"/>
                <w:szCs w:val="24"/>
                <w:lang w:val="fr-FR"/>
              </w:rPr>
              <w:t xml:space="preserve">que les différentes modalités de participation </w:t>
            </w:r>
          </w:p>
          <w:p w14:paraId="22618456" w14:textId="3321635C" w:rsidR="00902F2D" w:rsidRPr="00CE1BD9" w:rsidRDefault="00902F2D" w:rsidP="00902F2D">
            <w:pPr>
              <w:autoSpaceDE w:val="0"/>
              <w:autoSpaceDN w:val="0"/>
              <w:adjustRightInd w:val="0"/>
              <w:jc w:val="both"/>
              <w:rPr>
                <w:rFonts w:ascii="Garamond" w:eastAsia="Calibri" w:hAnsi="Garamond" w:cs="Times New Roman"/>
                <w:color w:val="000000"/>
                <w:sz w:val="24"/>
                <w:szCs w:val="24"/>
                <w:lang w:val="fr-FR"/>
              </w:rPr>
            </w:pPr>
            <w:r w:rsidRPr="00CE1BD9">
              <w:rPr>
                <w:rFonts w:ascii="Garamond" w:eastAsia="Calibri" w:hAnsi="Garamond" w:cs="Times New Roman"/>
                <w:color w:val="000000"/>
                <w:sz w:val="24"/>
                <w:szCs w:val="24"/>
                <w:lang w:val="fr-FR"/>
              </w:rPr>
              <w:t xml:space="preserve">et de consultation ; </w:t>
            </w:r>
          </w:p>
          <w:p w14:paraId="1CE26728" w14:textId="66C7B054" w:rsidR="00902F2D" w:rsidRPr="0044463A" w:rsidRDefault="00902F2D" w:rsidP="00902F2D">
            <w:pPr>
              <w:pStyle w:val="Paragraphedeliste"/>
              <w:ind w:left="780"/>
              <w:jc w:val="both"/>
              <w:rPr>
                <w:rFonts w:ascii="Garamond" w:hAnsi="Garamond" w:cs="Arial"/>
                <w:color w:val="0D0D0D"/>
                <w:sz w:val="20"/>
                <w:szCs w:val="20"/>
                <w:lang w:val="fr-CH"/>
              </w:rPr>
            </w:pPr>
          </w:p>
        </w:tc>
        <w:tc>
          <w:tcPr>
            <w:tcW w:w="1705" w:type="dxa"/>
            <w:tcBorders>
              <w:top w:val="single" w:sz="4" w:space="0" w:color="000000"/>
              <w:left w:val="single" w:sz="4" w:space="0" w:color="000000"/>
              <w:bottom w:val="single" w:sz="4" w:space="0" w:color="000000"/>
              <w:right w:val="single" w:sz="4" w:space="0" w:color="auto"/>
            </w:tcBorders>
          </w:tcPr>
          <w:p w14:paraId="349C3536" w14:textId="471A351B" w:rsidR="00902F2D" w:rsidRPr="00DF35C6" w:rsidRDefault="00902F2D" w:rsidP="00DF35C6">
            <w:pPr>
              <w:autoSpaceDE w:val="0"/>
              <w:autoSpaceDN w:val="0"/>
              <w:adjustRightInd w:val="0"/>
              <w:rPr>
                <w:rFonts w:ascii="Garamond" w:hAnsi="Garamond" w:cs="Arial"/>
                <w:color w:val="0D0D0D"/>
                <w:sz w:val="20"/>
                <w:szCs w:val="20"/>
              </w:rPr>
            </w:pPr>
            <w:r w:rsidRPr="00DF35C6">
              <w:rPr>
                <w:rFonts w:ascii="Garamond" w:hAnsi="Garamond" w:cs="Arial"/>
                <w:color w:val="0D0D0D"/>
                <w:sz w:val="20"/>
                <w:szCs w:val="20"/>
              </w:rPr>
              <w:t xml:space="preserve"> 15 Juillet 2023 </w:t>
            </w:r>
          </w:p>
        </w:tc>
        <w:tc>
          <w:tcPr>
            <w:tcW w:w="988" w:type="dxa"/>
            <w:tcBorders>
              <w:top w:val="single" w:sz="4" w:space="0" w:color="auto"/>
              <w:left w:val="single" w:sz="4" w:space="0" w:color="auto"/>
              <w:bottom w:val="single" w:sz="4" w:space="0" w:color="auto"/>
              <w:right w:val="single" w:sz="4" w:space="0" w:color="auto"/>
            </w:tcBorders>
          </w:tcPr>
          <w:p w14:paraId="67B21DA0" w14:textId="3CDF9CC5" w:rsidR="00902F2D" w:rsidRPr="0044463A" w:rsidRDefault="00902F2D" w:rsidP="00902F2D">
            <w:pPr>
              <w:autoSpaceDE w:val="0"/>
              <w:autoSpaceDN w:val="0"/>
              <w:adjustRightInd w:val="0"/>
              <w:rPr>
                <w:rFonts w:ascii="Garamond" w:hAnsi="Garamond" w:cs="Arial"/>
                <w:color w:val="0D0D0D"/>
                <w:sz w:val="20"/>
                <w:szCs w:val="20"/>
              </w:rPr>
            </w:pPr>
            <w:r>
              <w:rPr>
                <w:rFonts w:ascii="Garamond" w:hAnsi="Garamond" w:cs="Arial"/>
                <w:color w:val="0D0D0D"/>
                <w:sz w:val="20"/>
                <w:szCs w:val="20"/>
              </w:rPr>
              <w:t xml:space="preserve"> 6  J </w:t>
            </w:r>
          </w:p>
        </w:tc>
        <w:tc>
          <w:tcPr>
            <w:tcW w:w="988" w:type="dxa"/>
            <w:tcBorders>
              <w:top w:val="single" w:sz="4" w:space="0" w:color="auto"/>
              <w:left w:val="single" w:sz="4" w:space="0" w:color="auto"/>
              <w:bottom w:val="single" w:sz="4" w:space="0" w:color="auto"/>
              <w:right w:val="single" w:sz="4" w:space="0" w:color="auto"/>
            </w:tcBorders>
          </w:tcPr>
          <w:p w14:paraId="2BEC9E58" w14:textId="636EC481" w:rsidR="00902F2D" w:rsidRDefault="00902F2D" w:rsidP="00902F2D">
            <w:pPr>
              <w:autoSpaceDE w:val="0"/>
              <w:autoSpaceDN w:val="0"/>
              <w:adjustRightInd w:val="0"/>
              <w:rPr>
                <w:rFonts w:ascii="Garamond" w:hAnsi="Garamond" w:cs="Arial"/>
                <w:color w:val="0D0D0D"/>
                <w:sz w:val="20"/>
                <w:szCs w:val="20"/>
              </w:rPr>
            </w:pPr>
            <w:r>
              <w:rPr>
                <w:rFonts w:ascii="Garamond" w:hAnsi="Garamond" w:cs="Arial"/>
                <w:color w:val="0D0D0D"/>
                <w:sz w:val="20"/>
                <w:szCs w:val="20"/>
              </w:rPr>
              <w:t xml:space="preserve">20 % </w:t>
            </w:r>
          </w:p>
        </w:tc>
      </w:tr>
      <w:tr w:rsidR="00902F2D" w:rsidRPr="00D15422" w14:paraId="38B2D625" w14:textId="2F836D90" w:rsidTr="007C370B">
        <w:trPr>
          <w:cantSplit/>
          <w:jc w:val="center"/>
        </w:trPr>
        <w:tc>
          <w:tcPr>
            <w:tcW w:w="4957" w:type="dxa"/>
            <w:tcBorders>
              <w:top w:val="single" w:sz="4" w:space="0" w:color="000000"/>
              <w:left w:val="single" w:sz="4" w:space="0" w:color="auto"/>
              <w:bottom w:val="single" w:sz="4" w:space="0" w:color="000000"/>
              <w:right w:val="single" w:sz="4" w:space="0" w:color="000000"/>
            </w:tcBorders>
          </w:tcPr>
          <w:p w14:paraId="221222C2" w14:textId="77777777" w:rsidR="00902F2D" w:rsidRDefault="00902F2D" w:rsidP="00902F2D">
            <w:pPr>
              <w:jc w:val="both"/>
              <w:rPr>
                <w:rFonts w:ascii="Garamond" w:hAnsi="Garamond" w:cs="Arial"/>
                <w:color w:val="0D0D0D" w:themeColor="text1" w:themeTint="F2"/>
                <w:sz w:val="24"/>
                <w:szCs w:val="24"/>
                <w:lang w:val="fr-FR"/>
              </w:rPr>
            </w:pPr>
            <w:r w:rsidRPr="005C3127">
              <w:rPr>
                <w:rFonts w:ascii="Garamond" w:hAnsi="Garamond" w:cs="Arial"/>
                <w:b/>
                <w:bCs/>
                <w:color w:val="0D0D0D" w:themeColor="text1" w:themeTint="F2"/>
                <w:sz w:val="24"/>
                <w:szCs w:val="24"/>
                <w:lang w:val="fr-FR"/>
              </w:rPr>
              <w:t>Livrable 2 :</w:t>
            </w:r>
            <w:r>
              <w:rPr>
                <w:rFonts w:ascii="Garamond" w:hAnsi="Garamond" w:cs="Arial"/>
                <w:color w:val="0D0D0D" w:themeColor="text1" w:themeTint="F2"/>
                <w:sz w:val="24"/>
                <w:szCs w:val="24"/>
                <w:lang w:val="fr-FR"/>
              </w:rPr>
              <w:t xml:space="preserve"> </w:t>
            </w:r>
            <w:r w:rsidRPr="00CE1BD9">
              <w:rPr>
                <w:rFonts w:ascii="Garamond" w:hAnsi="Garamond" w:cs="Arial"/>
                <w:color w:val="0D0D0D" w:themeColor="text1" w:themeTint="F2"/>
                <w:sz w:val="24"/>
                <w:szCs w:val="24"/>
                <w:lang w:val="fr-FR"/>
              </w:rPr>
              <w:t xml:space="preserve">Le Rapport provisoire </w:t>
            </w:r>
          </w:p>
          <w:p w14:paraId="2CCC30BD" w14:textId="77777777" w:rsidR="00902F2D" w:rsidRPr="00CE1BD9" w:rsidRDefault="00902F2D" w:rsidP="00902F2D">
            <w:pPr>
              <w:jc w:val="both"/>
              <w:rPr>
                <w:rFonts w:ascii="Garamond" w:hAnsi="Garamond" w:cs="Noto Sans"/>
                <w:bCs/>
                <w:sz w:val="24"/>
                <w:szCs w:val="24"/>
                <w:lang w:val="fr-FR" w:eastAsia="en-GB"/>
              </w:rPr>
            </w:pPr>
            <w:r>
              <w:rPr>
                <w:rFonts w:ascii="Garamond" w:hAnsi="Garamond" w:cs="Arial"/>
                <w:color w:val="0D0D0D" w:themeColor="text1" w:themeTint="F2"/>
                <w:sz w:val="24"/>
                <w:szCs w:val="24"/>
                <w:lang w:val="fr-FR"/>
              </w:rPr>
              <w:t xml:space="preserve"> </w:t>
            </w:r>
            <w:r w:rsidRPr="00CE1BD9">
              <w:rPr>
                <w:rFonts w:ascii="Garamond" w:hAnsi="Garamond" w:cs="Arial"/>
                <w:color w:val="0D0D0D" w:themeColor="text1" w:themeTint="F2"/>
                <w:sz w:val="24"/>
                <w:szCs w:val="24"/>
                <w:lang w:val="fr-FR"/>
              </w:rPr>
              <w:t xml:space="preserve">du plan d’action de la PN2E 35 </w:t>
            </w:r>
          </w:p>
          <w:p w14:paraId="30768858" w14:textId="77777777" w:rsidR="00902F2D" w:rsidRDefault="00902F2D" w:rsidP="00902F2D">
            <w:pPr>
              <w:pStyle w:val="Paragraphedeliste"/>
              <w:ind w:left="780"/>
              <w:jc w:val="both"/>
              <w:rPr>
                <w:rFonts w:ascii="Garamond" w:hAnsi="Garamond" w:cs="Arial"/>
                <w:color w:val="0D0D0D" w:themeColor="text1" w:themeTint="F2"/>
                <w:sz w:val="24"/>
                <w:szCs w:val="24"/>
                <w:lang w:val="fr-CH"/>
              </w:rPr>
            </w:pPr>
          </w:p>
          <w:p w14:paraId="59FA3B23" w14:textId="77777777" w:rsidR="00902F2D" w:rsidRDefault="00902F2D" w:rsidP="00902F2D">
            <w:pPr>
              <w:autoSpaceDE w:val="0"/>
              <w:autoSpaceDN w:val="0"/>
              <w:adjustRightInd w:val="0"/>
              <w:jc w:val="both"/>
              <w:rPr>
                <w:rFonts w:ascii="Garamond" w:eastAsia="Calibri" w:hAnsi="Garamond" w:cs="Times New Roman"/>
                <w:color w:val="000000"/>
                <w:sz w:val="24"/>
                <w:szCs w:val="24"/>
                <w:lang w:val="fr-FR"/>
              </w:rPr>
            </w:pPr>
          </w:p>
        </w:tc>
        <w:tc>
          <w:tcPr>
            <w:tcW w:w="1705" w:type="dxa"/>
            <w:tcBorders>
              <w:top w:val="single" w:sz="4" w:space="0" w:color="000000"/>
              <w:left w:val="single" w:sz="4" w:space="0" w:color="000000"/>
              <w:bottom w:val="single" w:sz="4" w:space="0" w:color="000000"/>
              <w:right w:val="single" w:sz="4" w:space="0" w:color="auto"/>
            </w:tcBorders>
          </w:tcPr>
          <w:p w14:paraId="6FBB8F58" w14:textId="2C8DC25D" w:rsidR="00902F2D" w:rsidRPr="005C3127" w:rsidRDefault="00902F2D" w:rsidP="00902F2D">
            <w:pPr>
              <w:autoSpaceDE w:val="0"/>
              <w:autoSpaceDN w:val="0"/>
              <w:adjustRightInd w:val="0"/>
              <w:rPr>
                <w:rFonts w:ascii="Garamond" w:hAnsi="Garamond" w:cs="Arial"/>
                <w:color w:val="0D0D0D"/>
                <w:sz w:val="20"/>
                <w:szCs w:val="20"/>
              </w:rPr>
            </w:pPr>
            <w:r>
              <w:rPr>
                <w:rFonts w:ascii="Garamond" w:hAnsi="Garamond" w:cs="Arial"/>
                <w:color w:val="0D0D0D"/>
                <w:sz w:val="20"/>
                <w:szCs w:val="20"/>
                <w:lang w:val="fr-CH"/>
              </w:rPr>
              <w:t>15 Août</w:t>
            </w:r>
            <w:r w:rsidRPr="005C3127">
              <w:rPr>
                <w:rFonts w:ascii="Garamond" w:hAnsi="Garamond" w:cs="Arial"/>
                <w:color w:val="0D0D0D"/>
                <w:sz w:val="20"/>
                <w:szCs w:val="20"/>
                <w:lang w:val="fr-CH"/>
              </w:rPr>
              <w:t xml:space="preserve"> 2023</w:t>
            </w:r>
          </w:p>
        </w:tc>
        <w:tc>
          <w:tcPr>
            <w:tcW w:w="988" w:type="dxa"/>
            <w:tcBorders>
              <w:top w:val="single" w:sz="4" w:space="0" w:color="auto"/>
              <w:left w:val="single" w:sz="4" w:space="0" w:color="auto"/>
              <w:bottom w:val="single" w:sz="4" w:space="0" w:color="auto"/>
              <w:right w:val="single" w:sz="4" w:space="0" w:color="auto"/>
            </w:tcBorders>
          </w:tcPr>
          <w:p w14:paraId="097716D0" w14:textId="385AF6EC" w:rsidR="00902F2D" w:rsidRDefault="00902F2D" w:rsidP="00902F2D">
            <w:pPr>
              <w:autoSpaceDE w:val="0"/>
              <w:autoSpaceDN w:val="0"/>
              <w:adjustRightInd w:val="0"/>
              <w:rPr>
                <w:rFonts w:ascii="Garamond" w:hAnsi="Garamond" w:cs="Arial"/>
                <w:color w:val="0D0D0D"/>
                <w:sz w:val="20"/>
                <w:szCs w:val="20"/>
              </w:rPr>
            </w:pPr>
            <w:r>
              <w:rPr>
                <w:rFonts w:ascii="Garamond" w:hAnsi="Garamond" w:cs="Arial"/>
                <w:color w:val="0D0D0D"/>
                <w:sz w:val="20"/>
                <w:szCs w:val="20"/>
              </w:rPr>
              <w:t xml:space="preserve"> 16 J </w:t>
            </w:r>
          </w:p>
        </w:tc>
        <w:tc>
          <w:tcPr>
            <w:tcW w:w="988" w:type="dxa"/>
            <w:tcBorders>
              <w:top w:val="single" w:sz="4" w:space="0" w:color="auto"/>
              <w:left w:val="single" w:sz="4" w:space="0" w:color="auto"/>
              <w:bottom w:val="single" w:sz="4" w:space="0" w:color="auto"/>
              <w:right w:val="single" w:sz="4" w:space="0" w:color="auto"/>
            </w:tcBorders>
          </w:tcPr>
          <w:p w14:paraId="600EEDC0" w14:textId="553DD82F" w:rsidR="00902F2D" w:rsidRDefault="00902F2D" w:rsidP="00902F2D">
            <w:pPr>
              <w:autoSpaceDE w:val="0"/>
              <w:autoSpaceDN w:val="0"/>
              <w:adjustRightInd w:val="0"/>
              <w:rPr>
                <w:rFonts w:ascii="Garamond" w:hAnsi="Garamond" w:cs="Arial"/>
                <w:color w:val="0D0D0D"/>
                <w:sz w:val="20"/>
                <w:szCs w:val="20"/>
              </w:rPr>
            </w:pPr>
            <w:r>
              <w:rPr>
                <w:rFonts w:ascii="Garamond" w:hAnsi="Garamond" w:cs="Arial"/>
                <w:color w:val="0D0D0D"/>
                <w:sz w:val="20"/>
                <w:szCs w:val="20"/>
              </w:rPr>
              <w:t xml:space="preserve">40 % </w:t>
            </w:r>
          </w:p>
        </w:tc>
      </w:tr>
      <w:tr w:rsidR="00902F2D" w:rsidRPr="005C3127" w14:paraId="7F033238" w14:textId="37C3C0AF" w:rsidTr="007C370B">
        <w:trPr>
          <w:cantSplit/>
          <w:jc w:val="center"/>
        </w:trPr>
        <w:tc>
          <w:tcPr>
            <w:tcW w:w="4957" w:type="dxa"/>
            <w:tcBorders>
              <w:top w:val="single" w:sz="4" w:space="0" w:color="000000"/>
              <w:left w:val="single" w:sz="4" w:space="0" w:color="auto"/>
              <w:bottom w:val="single" w:sz="4" w:space="0" w:color="000000"/>
              <w:right w:val="single" w:sz="4" w:space="0" w:color="000000"/>
            </w:tcBorders>
          </w:tcPr>
          <w:p w14:paraId="0D6C2FC9" w14:textId="77777777" w:rsidR="00902F2D" w:rsidRDefault="00902F2D" w:rsidP="00902F2D">
            <w:pPr>
              <w:jc w:val="both"/>
              <w:rPr>
                <w:rFonts w:ascii="Garamond" w:hAnsi="Garamond" w:cs="Arial"/>
                <w:color w:val="0D0D0D" w:themeColor="text1" w:themeTint="F2"/>
                <w:sz w:val="24"/>
                <w:szCs w:val="24"/>
                <w:lang w:val="fr-CH"/>
              </w:rPr>
            </w:pPr>
            <w:r w:rsidRPr="005C3127">
              <w:rPr>
                <w:rFonts w:ascii="Garamond" w:hAnsi="Garamond" w:cs="Arial"/>
                <w:b/>
                <w:bCs/>
                <w:color w:val="0D0D0D" w:themeColor="text1" w:themeTint="F2"/>
                <w:sz w:val="24"/>
                <w:szCs w:val="24"/>
                <w:lang w:val="fr-CH"/>
              </w:rPr>
              <w:t>Livrable 3</w:t>
            </w:r>
            <w:r>
              <w:rPr>
                <w:rFonts w:ascii="Garamond" w:hAnsi="Garamond" w:cs="Arial"/>
                <w:color w:val="0D0D0D" w:themeColor="text1" w:themeTint="F2"/>
                <w:sz w:val="24"/>
                <w:szCs w:val="24"/>
                <w:lang w:val="fr-CH"/>
              </w:rPr>
              <w:t xml:space="preserve"> : Rapport final du plan d’action de </w:t>
            </w:r>
          </w:p>
          <w:p w14:paraId="17ED1319" w14:textId="77777777" w:rsidR="00902F2D" w:rsidRDefault="00902F2D" w:rsidP="00902F2D">
            <w:pPr>
              <w:jc w:val="both"/>
              <w:rPr>
                <w:rFonts w:ascii="Garamond" w:hAnsi="Garamond" w:cs="Arial"/>
                <w:color w:val="0D0D0D" w:themeColor="text1" w:themeTint="F2"/>
                <w:sz w:val="24"/>
                <w:szCs w:val="24"/>
                <w:lang w:val="fr-CH"/>
              </w:rPr>
            </w:pPr>
            <w:r>
              <w:rPr>
                <w:rFonts w:ascii="Garamond" w:hAnsi="Garamond" w:cs="Arial"/>
                <w:color w:val="0D0D0D" w:themeColor="text1" w:themeTint="F2"/>
                <w:sz w:val="24"/>
                <w:szCs w:val="24"/>
                <w:lang w:val="fr-CH"/>
              </w:rPr>
              <w:t xml:space="preserve">la PN2E 35 </w:t>
            </w:r>
            <w:r w:rsidRPr="002E135D">
              <w:rPr>
                <w:rFonts w:ascii="Garamond" w:hAnsi="Garamond" w:cs="Arial"/>
                <w:color w:val="0D0D0D" w:themeColor="text1" w:themeTint="F2"/>
                <w:sz w:val="24"/>
                <w:szCs w:val="24"/>
                <w:lang w:val="fr-CH"/>
              </w:rPr>
              <w:t xml:space="preserve">intégrant les commentaires du BIT, </w:t>
            </w:r>
          </w:p>
          <w:p w14:paraId="5E973018" w14:textId="77777777" w:rsidR="00902F2D" w:rsidRDefault="00902F2D" w:rsidP="00902F2D">
            <w:pPr>
              <w:jc w:val="both"/>
              <w:rPr>
                <w:rFonts w:ascii="Garamond" w:hAnsi="Garamond" w:cs="Arial"/>
                <w:color w:val="0D0D0D" w:themeColor="text1" w:themeTint="F2"/>
                <w:sz w:val="24"/>
                <w:szCs w:val="24"/>
                <w:lang w:val="fr-CH"/>
              </w:rPr>
            </w:pPr>
            <w:r w:rsidRPr="002E135D">
              <w:rPr>
                <w:rFonts w:ascii="Garamond" w:hAnsi="Garamond" w:cs="Arial"/>
                <w:color w:val="0D0D0D" w:themeColor="text1" w:themeTint="F2"/>
                <w:sz w:val="24"/>
                <w:szCs w:val="24"/>
                <w:lang w:val="fr-CH"/>
              </w:rPr>
              <w:t>du MIEPEEC ainsi que des participants à l’atelier</w:t>
            </w:r>
            <w:r>
              <w:rPr>
                <w:rFonts w:ascii="Garamond" w:hAnsi="Garamond" w:cs="Arial"/>
                <w:color w:val="0D0D0D" w:themeColor="text1" w:themeTint="F2"/>
                <w:sz w:val="24"/>
                <w:szCs w:val="24"/>
                <w:lang w:val="fr-CH"/>
              </w:rPr>
              <w:t xml:space="preserve"> </w:t>
            </w:r>
          </w:p>
          <w:p w14:paraId="66BBCF12" w14:textId="7D025C2D" w:rsidR="00902F2D" w:rsidRDefault="00902F2D" w:rsidP="00902F2D">
            <w:pPr>
              <w:jc w:val="both"/>
              <w:rPr>
                <w:rFonts w:ascii="Garamond" w:hAnsi="Garamond" w:cs="Arial"/>
                <w:color w:val="0D0D0D" w:themeColor="text1" w:themeTint="F2"/>
                <w:sz w:val="24"/>
                <w:szCs w:val="24"/>
                <w:lang w:val="fr-FR"/>
              </w:rPr>
            </w:pPr>
            <w:r>
              <w:rPr>
                <w:rFonts w:ascii="Garamond" w:hAnsi="Garamond" w:cs="Arial"/>
                <w:color w:val="0D0D0D" w:themeColor="text1" w:themeTint="F2"/>
                <w:sz w:val="24"/>
                <w:szCs w:val="24"/>
                <w:lang w:val="fr-CH"/>
              </w:rPr>
              <w:t>de validation du plan d’action de la PN2E 35</w:t>
            </w:r>
          </w:p>
        </w:tc>
        <w:tc>
          <w:tcPr>
            <w:tcW w:w="1705" w:type="dxa"/>
            <w:tcBorders>
              <w:top w:val="single" w:sz="4" w:space="0" w:color="000000"/>
              <w:left w:val="single" w:sz="4" w:space="0" w:color="000000"/>
              <w:bottom w:val="single" w:sz="4" w:space="0" w:color="000000"/>
              <w:right w:val="single" w:sz="4" w:space="0" w:color="auto"/>
            </w:tcBorders>
          </w:tcPr>
          <w:p w14:paraId="4E03CC6B" w14:textId="4BB96B47" w:rsidR="00902F2D" w:rsidRPr="005C3127" w:rsidRDefault="00902F2D" w:rsidP="00902F2D">
            <w:pPr>
              <w:autoSpaceDE w:val="0"/>
              <w:autoSpaceDN w:val="0"/>
              <w:adjustRightInd w:val="0"/>
              <w:rPr>
                <w:rFonts w:ascii="Garamond" w:hAnsi="Garamond" w:cs="Arial"/>
                <w:color w:val="0D0D0D"/>
                <w:sz w:val="20"/>
                <w:szCs w:val="20"/>
                <w:lang w:val="fr-CH"/>
              </w:rPr>
            </w:pPr>
            <w:r>
              <w:rPr>
                <w:rFonts w:ascii="Garamond" w:hAnsi="Garamond" w:cs="Arial"/>
                <w:color w:val="0D0D0D"/>
                <w:sz w:val="20"/>
                <w:szCs w:val="20"/>
              </w:rPr>
              <w:t xml:space="preserve">30 Décembre </w:t>
            </w:r>
            <w:r w:rsidRPr="0044463A">
              <w:rPr>
                <w:rFonts w:ascii="Garamond" w:hAnsi="Garamond" w:cs="Arial"/>
                <w:color w:val="0D0D0D"/>
                <w:sz w:val="20"/>
                <w:szCs w:val="20"/>
              </w:rPr>
              <w:t xml:space="preserve">2023  </w:t>
            </w:r>
          </w:p>
        </w:tc>
        <w:tc>
          <w:tcPr>
            <w:tcW w:w="988" w:type="dxa"/>
            <w:tcBorders>
              <w:top w:val="single" w:sz="4" w:space="0" w:color="auto"/>
              <w:left w:val="single" w:sz="4" w:space="0" w:color="auto"/>
              <w:bottom w:val="single" w:sz="4" w:space="0" w:color="auto"/>
              <w:right w:val="single" w:sz="4" w:space="0" w:color="auto"/>
            </w:tcBorders>
          </w:tcPr>
          <w:p w14:paraId="02C5F2E0" w14:textId="7DB82153" w:rsidR="00902F2D" w:rsidRPr="005C3127" w:rsidRDefault="00902F2D" w:rsidP="00902F2D">
            <w:pPr>
              <w:autoSpaceDE w:val="0"/>
              <w:autoSpaceDN w:val="0"/>
              <w:adjustRightInd w:val="0"/>
              <w:rPr>
                <w:rFonts w:ascii="Garamond" w:hAnsi="Garamond" w:cs="Arial"/>
                <w:color w:val="0D0D0D"/>
                <w:sz w:val="20"/>
                <w:szCs w:val="20"/>
                <w:lang w:val="fr-FR"/>
              </w:rPr>
            </w:pPr>
            <w:r>
              <w:rPr>
                <w:rFonts w:ascii="Garamond" w:hAnsi="Garamond" w:cs="Arial"/>
                <w:color w:val="0D0D0D"/>
                <w:sz w:val="20"/>
                <w:szCs w:val="20"/>
                <w:lang w:val="fr-FR"/>
              </w:rPr>
              <w:t xml:space="preserve">16 J  </w:t>
            </w:r>
          </w:p>
        </w:tc>
        <w:tc>
          <w:tcPr>
            <w:tcW w:w="988" w:type="dxa"/>
            <w:tcBorders>
              <w:top w:val="single" w:sz="4" w:space="0" w:color="auto"/>
              <w:left w:val="single" w:sz="4" w:space="0" w:color="auto"/>
              <w:bottom w:val="single" w:sz="4" w:space="0" w:color="auto"/>
              <w:right w:val="single" w:sz="4" w:space="0" w:color="auto"/>
            </w:tcBorders>
          </w:tcPr>
          <w:p w14:paraId="6BC3BC8F" w14:textId="3AFD0913" w:rsidR="00902F2D" w:rsidRDefault="00902F2D" w:rsidP="00902F2D">
            <w:pPr>
              <w:autoSpaceDE w:val="0"/>
              <w:autoSpaceDN w:val="0"/>
              <w:adjustRightInd w:val="0"/>
              <w:rPr>
                <w:rFonts w:ascii="Garamond" w:hAnsi="Garamond" w:cs="Arial"/>
                <w:color w:val="0D0D0D"/>
                <w:sz w:val="20"/>
                <w:szCs w:val="20"/>
                <w:lang w:val="fr-FR"/>
              </w:rPr>
            </w:pPr>
            <w:r>
              <w:rPr>
                <w:rFonts w:ascii="Garamond" w:hAnsi="Garamond" w:cs="Arial"/>
                <w:color w:val="0D0D0D"/>
                <w:sz w:val="20"/>
                <w:szCs w:val="20"/>
                <w:lang w:val="fr-FR"/>
              </w:rPr>
              <w:t xml:space="preserve">40 % </w:t>
            </w:r>
          </w:p>
        </w:tc>
      </w:tr>
    </w:tbl>
    <w:p w14:paraId="02FBD582" w14:textId="77777777" w:rsidR="006B5ECD" w:rsidRDefault="006B5ECD">
      <w:pPr>
        <w:pStyle w:val="Paragraphedeliste"/>
        <w:jc w:val="both"/>
        <w:rPr>
          <w:rFonts w:ascii="Garamond" w:hAnsi="Garamond" w:cs="Cambria"/>
          <w:sz w:val="24"/>
          <w:szCs w:val="24"/>
          <w:lang w:val="fr-FR"/>
        </w:rPr>
      </w:pPr>
    </w:p>
    <w:p w14:paraId="0459B1E6" w14:textId="77777777" w:rsidR="00902F2D" w:rsidRPr="00ED1EF8" w:rsidRDefault="00902F2D" w:rsidP="00902F2D">
      <w:pPr>
        <w:pBdr>
          <w:bottom w:val="single" w:sz="8" w:space="1" w:color="0070C0"/>
        </w:pBdr>
        <w:autoSpaceDE w:val="0"/>
        <w:autoSpaceDN w:val="0"/>
        <w:adjustRightInd w:val="0"/>
        <w:rPr>
          <w:rFonts w:ascii="Garamond" w:hAnsi="Garamond" w:cs="Arial"/>
          <w:b/>
          <w:bCs/>
          <w:color w:val="7030A0"/>
          <w:sz w:val="24"/>
          <w:szCs w:val="24"/>
          <w:lang w:val="fr-CH"/>
        </w:rPr>
      </w:pPr>
      <w:r>
        <w:rPr>
          <w:rFonts w:ascii="Garamond" w:hAnsi="Garamond" w:cs="Arial"/>
          <w:b/>
          <w:bCs/>
          <w:color w:val="7030A0"/>
          <w:sz w:val="24"/>
          <w:szCs w:val="24"/>
          <w:lang w:val="fr-CH"/>
        </w:rPr>
        <w:t>V</w:t>
      </w:r>
      <w:r w:rsidRPr="00ED1EF8">
        <w:rPr>
          <w:rFonts w:ascii="Garamond" w:hAnsi="Garamond" w:cs="Arial"/>
          <w:b/>
          <w:bCs/>
          <w:color w:val="7030A0"/>
          <w:sz w:val="24"/>
          <w:szCs w:val="24"/>
          <w:lang w:val="fr-CH"/>
        </w:rPr>
        <w:t xml:space="preserve"> : </w:t>
      </w:r>
      <w:r>
        <w:rPr>
          <w:rFonts w:ascii="Garamond" w:hAnsi="Garamond" w:cs="Arial"/>
          <w:b/>
          <w:bCs/>
          <w:color w:val="7030A0"/>
          <w:sz w:val="24"/>
          <w:szCs w:val="24"/>
          <w:lang w:val="fr-CH"/>
        </w:rPr>
        <w:t xml:space="preserve">Modalité de soumission  </w:t>
      </w:r>
    </w:p>
    <w:p w14:paraId="000A7F74" w14:textId="77777777" w:rsidR="00902F2D" w:rsidRPr="00A46623" w:rsidRDefault="00902F2D" w:rsidP="00902F2D">
      <w:pPr>
        <w:autoSpaceDE w:val="0"/>
        <w:autoSpaceDN w:val="0"/>
        <w:adjustRightInd w:val="0"/>
        <w:jc w:val="both"/>
        <w:rPr>
          <w:rFonts w:ascii="Garamond" w:hAnsi="Garamond" w:cs="Arial"/>
          <w:b/>
          <w:bCs/>
          <w:color w:val="0D0D0D" w:themeColor="text1" w:themeTint="F2"/>
          <w:sz w:val="24"/>
          <w:szCs w:val="24"/>
          <w:lang w:val="fr-CH"/>
        </w:rPr>
      </w:pPr>
    </w:p>
    <w:p w14:paraId="2DC82FC7" w14:textId="77777777" w:rsidR="00902F2D" w:rsidRPr="006274CD" w:rsidRDefault="00902F2D" w:rsidP="00902F2D">
      <w:pPr>
        <w:pStyle w:val="Paragraphedeliste"/>
        <w:ind w:left="0"/>
        <w:jc w:val="both"/>
        <w:rPr>
          <w:rFonts w:ascii="Garamond" w:hAnsi="Garamond" w:cs="Cambria"/>
          <w:sz w:val="24"/>
          <w:szCs w:val="24"/>
          <w:lang w:val="fr-MA"/>
        </w:rPr>
      </w:pPr>
      <w:r w:rsidRPr="006274CD">
        <w:rPr>
          <w:rFonts w:ascii="Times New Roman" w:hAnsi="Times New Roman" w:cs="Times New Roman"/>
          <w:color w:val="0D0D0D" w:themeColor="text1" w:themeTint="F2"/>
          <w:sz w:val="24"/>
          <w:szCs w:val="24"/>
          <w:lang w:val="fr-CH"/>
        </w:rPr>
        <w:t xml:space="preserve">La date limite de soumission des candidatures est fixée au </w:t>
      </w:r>
      <w:r>
        <w:rPr>
          <w:rFonts w:ascii="Times New Roman" w:hAnsi="Times New Roman" w:cs="Times New Roman"/>
          <w:color w:val="0D0D0D" w:themeColor="text1" w:themeTint="F2"/>
          <w:sz w:val="24"/>
          <w:szCs w:val="24"/>
          <w:lang w:val="fr-CH"/>
        </w:rPr>
        <w:t>18 Juin 2023</w:t>
      </w:r>
      <w:r w:rsidRPr="006274CD">
        <w:rPr>
          <w:rFonts w:ascii="Times New Roman" w:hAnsi="Times New Roman" w:cs="Times New Roman"/>
          <w:color w:val="0D0D0D" w:themeColor="text1" w:themeTint="F2"/>
          <w:sz w:val="24"/>
          <w:szCs w:val="24"/>
          <w:lang w:val="fr-CH"/>
        </w:rPr>
        <w:t xml:space="preserve"> à 23h59 (heure du Maroc). Les candidatures doivent être soumises par courrier électronique à </w:t>
      </w:r>
      <w:r>
        <w:rPr>
          <w:rFonts w:ascii="Times New Roman" w:hAnsi="Times New Roman" w:cs="Times New Roman"/>
          <w:color w:val="0D0D0D" w:themeColor="text1" w:themeTint="F2"/>
          <w:sz w:val="24"/>
          <w:szCs w:val="24"/>
          <w:lang w:val="fr-CH"/>
        </w:rPr>
        <w:t>Mme</w:t>
      </w:r>
      <w:r w:rsidRPr="006274CD">
        <w:rPr>
          <w:rFonts w:ascii="Times New Roman" w:hAnsi="Times New Roman" w:cs="Times New Roman"/>
          <w:color w:val="0D0D0D" w:themeColor="text1" w:themeTint="F2"/>
          <w:sz w:val="24"/>
          <w:szCs w:val="24"/>
          <w:lang w:val="fr-CH"/>
        </w:rPr>
        <w:t xml:space="preserve"> Jihane H</w:t>
      </w:r>
      <w:r>
        <w:rPr>
          <w:rFonts w:ascii="Times New Roman" w:hAnsi="Times New Roman" w:cs="Times New Roman"/>
          <w:color w:val="0D0D0D" w:themeColor="text1" w:themeTint="F2"/>
          <w:sz w:val="24"/>
          <w:szCs w:val="24"/>
          <w:lang w:val="fr-CH"/>
        </w:rPr>
        <w:t>ANNANE</w:t>
      </w:r>
      <w:r w:rsidRPr="006274CD">
        <w:rPr>
          <w:rFonts w:ascii="Times New Roman" w:hAnsi="Times New Roman" w:cs="Times New Roman"/>
          <w:color w:val="0D0D0D" w:themeColor="text1" w:themeTint="F2"/>
          <w:sz w:val="24"/>
          <w:szCs w:val="24"/>
          <w:lang w:val="fr-CH"/>
        </w:rPr>
        <w:t>, Assistante administrative et financière</w:t>
      </w:r>
      <w:r>
        <w:rPr>
          <w:rFonts w:ascii="Times New Roman" w:hAnsi="Times New Roman" w:cs="Times New Roman"/>
          <w:color w:val="0D0D0D" w:themeColor="text1" w:themeTint="F2"/>
          <w:sz w:val="24"/>
          <w:szCs w:val="24"/>
          <w:lang w:val="fr-CH"/>
        </w:rPr>
        <w:t xml:space="preserve"> du projet</w:t>
      </w:r>
      <w:r w:rsidRPr="006274CD">
        <w:rPr>
          <w:rFonts w:ascii="Times New Roman" w:hAnsi="Times New Roman" w:cs="Times New Roman"/>
          <w:color w:val="0D0D0D" w:themeColor="text1" w:themeTint="F2"/>
          <w:sz w:val="24"/>
          <w:szCs w:val="24"/>
          <w:lang w:val="fr-CH"/>
        </w:rPr>
        <w:t xml:space="preserve"> ADWA’ (</w:t>
      </w:r>
      <w:hyperlink r:id="rId9" w:history="1">
        <w:r w:rsidRPr="006618DC">
          <w:rPr>
            <w:rStyle w:val="Lienhypertexte"/>
            <w:rFonts w:ascii="Times New Roman" w:hAnsi="Times New Roman" w:cs="Times New Roman"/>
            <w:sz w:val="24"/>
            <w:szCs w:val="24"/>
            <w:lang w:val="fr-CH"/>
          </w:rPr>
          <w:t>hannane@ilo.org</w:t>
        </w:r>
      </w:hyperlink>
      <w:r>
        <w:rPr>
          <w:rFonts w:ascii="Times New Roman" w:hAnsi="Times New Roman" w:cs="Times New Roman"/>
          <w:color w:val="0D0D0D" w:themeColor="text1" w:themeTint="F2"/>
          <w:sz w:val="24"/>
          <w:szCs w:val="24"/>
          <w:lang w:val="fr-CH"/>
        </w:rPr>
        <w:t xml:space="preserve"> </w:t>
      </w:r>
      <w:r w:rsidRPr="006274CD">
        <w:rPr>
          <w:rFonts w:ascii="Times New Roman" w:hAnsi="Times New Roman" w:cs="Times New Roman"/>
          <w:color w:val="0D0D0D" w:themeColor="text1" w:themeTint="F2"/>
          <w:sz w:val="24"/>
          <w:szCs w:val="24"/>
          <w:lang w:val="fr-CH"/>
        </w:rPr>
        <w:t>).</w:t>
      </w:r>
    </w:p>
    <w:p w14:paraId="1D709D92" w14:textId="77777777" w:rsidR="00902F2D" w:rsidRPr="00902F2D" w:rsidRDefault="00902F2D">
      <w:pPr>
        <w:pStyle w:val="Paragraphedeliste"/>
        <w:jc w:val="both"/>
        <w:rPr>
          <w:rFonts w:ascii="Garamond" w:hAnsi="Garamond" w:cs="Cambria"/>
          <w:sz w:val="24"/>
          <w:szCs w:val="24"/>
          <w:lang w:val="fr-MA"/>
        </w:rPr>
      </w:pPr>
    </w:p>
    <w:sectPr w:rsidR="00902F2D" w:rsidRPr="00902F2D" w:rsidSect="00403E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82B9" w14:textId="77777777" w:rsidR="00C03BD5" w:rsidRDefault="00C03BD5" w:rsidP="0061072B">
      <w:r>
        <w:separator/>
      </w:r>
    </w:p>
  </w:endnote>
  <w:endnote w:type="continuationSeparator" w:id="0">
    <w:p w14:paraId="4C895A95" w14:textId="77777777" w:rsidR="00C03BD5" w:rsidRDefault="00C03BD5" w:rsidP="0061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Noto Sans"/>
    <w:charset w:val="00"/>
    <w:family w:val="swiss"/>
    <w:pitch w:val="variable"/>
    <w:sig w:usb0="E00002FF" w:usb1="4000201F" w:usb2="08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77F6" w14:textId="77777777" w:rsidR="00C03BD5" w:rsidRDefault="00C03BD5" w:rsidP="0061072B">
      <w:r>
        <w:separator/>
      </w:r>
    </w:p>
  </w:footnote>
  <w:footnote w:type="continuationSeparator" w:id="0">
    <w:p w14:paraId="081D6763" w14:textId="77777777" w:rsidR="00C03BD5" w:rsidRDefault="00C03BD5" w:rsidP="0061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1B1E92"/>
    <w:multiLevelType w:val="hybridMultilevel"/>
    <w:tmpl w:val="80608274"/>
    <w:lvl w:ilvl="0" w:tplc="9F88980C">
      <w:start w:val="31"/>
      <w:numFmt w:val="bullet"/>
      <w:lvlText w:val="-"/>
      <w:lvlJc w:val="left"/>
      <w:pPr>
        <w:ind w:left="720" w:hanging="360"/>
      </w:pPr>
      <w:rPr>
        <w:rFonts w:ascii="Garamond" w:eastAsiaTheme="minorHAnsi" w:hAnsi="Garamond"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71B66"/>
    <w:multiLevelType w:val="hybridMultilevel"/>
    <w:tmpl w:val="2FE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00EEB"/>
    <w:multiLevelType w:val="hybridMultilevel"/>
    <w:tmpl w:val="C032E3D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0DFD4BD8"/>
    <w:multiLevelType w:val="hybridMultilevel"/>
    <w:tmpl w:val="DDCED08E"/>
    <w:lvl w:ilvl="0" w:tplc="944E1E16">
      <w:start w:val="1"/>
      <w:numFmt w:val="decimal"/>
      <w:lvlText w:val="%1."/>
      <w:lvlJc w:val="left"/>
      <w:pPr>
        <w:ind w:left="1080" w:hanging="720"/>
      </w:pPr>
      <w:rPr>
        <w:rFonts w:hint="default"/>
        <w:b w:val="0"/>
        <w:bCs/>
        <w:i w:val="0"/>
        <w:u w:color="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62367"/>
    <w:multiLevelType w:val="hybridMultilevel"/>
    <w:tmpl w:val="71E03A64"/>
    <w:lvl w:ilvl="0" w:tplc="00A8870C">
      <w:start w:val="6"/>
      <w:numFmt w:val="bullet"/>
      <w:lvlText w:val="-"/>
      <w:lvlJc w:val="left"/>
      <w:pPr>
        <w:ind w:left="720" w:hanging="360"/>
      </w:pPr>
      <w:rPr>
        <w:rFonts w:ascii="Garamond" w:eastAsiaTheme="minorHAnsi" w:hAnsi="Garamond"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C2D5A"/>
    <w:multiLevelType w:val="hybridMultilevel"/>
    <w:tmpl w:val="08D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E4551"/>
    <w:multiLevelType w:val="hybridMultilevel"/>
    <w:tmpl w:val="80246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34712"/>
    <w:multiLevelType w:val="hybridMultilevel"/>
    <w:tmpl w:val="BB064576"/>
    <w:lvl w:ilvl="0" w:tplc="8AFA2A36">
      <w:start w:val="30"/>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1CF0EAF"/>
    <w:multiLevelType w:val="hybridMultilevel"/>
    <w:tmpl w:val="E5822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93B61"/>
    <w:multiLevelType w:val="hybridMultilevel"/>
    <w:tmpl w:val="94DE9418"/>
    <w:lvl w:ilvl="0" w:tplc="9368A11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752CC"/>
    <w:multiLevelType w:val="hybridMultilevel"/>
    <w:tmpl w:val="66A68D38"/>
    <w:lvl w:ilvl="0" w:tplc="0809000F">
      <w:start w:val="1"/>
      <w:numFmt w:val="decimal"/>
      <w:lvlText w:val="%1."/>
      <w:lvlJc w:val="left"/>
      <w:pPr>
        <w:ind w:left="720" w:hanging="360"/>
      </w:pPr>
      <w:rPr>
        <w:rFonts w:hint="default"/>
      </w:rPr>
    </w:lvl>
    <w:lvl w:ilvl="1" w:tplc="BA3C37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C6ACB"/>
    <w:multiLevelType w:val="hybridMultilevel"/>
    <w:tmpl w:val="9CB8A66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39B33BA8"/>
    <w:multiLevelType w:val="hybridMultilevel"/>
    <w:tmpl w:val="C032E3D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3AA62993"/>
    <w:multiLevelType w:val="hybridMultilevel"/>
    <w:tmpl w:val="AF304D50"/>
    <w:lvl w:ilvl="0" w:tplc="AB8A4B70">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41096"/>
    <w:multiLevelType w:val="hybridMultilevel"/>
    <w:tmpl w:val="33C0AA22"/>
    <w:lvl w:ilvl="0" w:tplc="4866C7E4">
      <w:start w:val="30"/>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444D060F"/>
    <w:multiLevelType w:val="hybridMultilevel"/>
    <w:tmpl w:val="43D2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245FF"/>
    <w:multiLevelType w:val="hybridMultilevel"/>
    <w:tmpl w:val="59661F1A"/>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544B7D44"/>
    <w:multiLevelType w:val="hybridMultilevel"/>
    <w:tmpl w:val="4648A64A"/>
    <w:lvl w:ilvl="0" w:tplc="26448790">
      <w:start w:val="6"/>
      <w:numFmt w:val="bullet"/>
      <w:lvlText w:val=""/>
      <w:lvlJc w:val="left"/>
      <w:pPr>
        <w:ind w:left="1800" w:hanging="360"/>
      </w:pPr>
      <w:rPr>
        <w:rFonts w:ascii="Symbol" w:eastAsiaTheme="minorHAnsi" w:hAnsi="Symbol" w:cs="Cambria" w:hint="default"/>
        <w:b/>
        <w:color w:val="0D0D0D" w:themeColor="text1" w:themeTint="F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9D341A8"/>
    <w:multiLevelType w:val="hybridMultilevel"/>
    <w:tmpl w:val="0F860726"/>
    <w:lvl w:ilvl="0" w:tplc="C6D8E0BC">
      <w:start w:val="30"/>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5DCE63F6"/>
    <w:multiLevelType w:val="hybridMultilevel"/>
    <w:tmpl w:val="C032E3D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E2879A6"/>
    <w:multiLevelType w:val="hybridMultilevel"/>
    <w:tmpl w:val="A126A33E"/>
    <w:lvl w:ilvl="0" w:tplc="607C0962">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2001F"/>
    <w:multiLevelType w:val="hybridMultilevel"/>
    <w:tmpl w:val="C0F4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6228"/>
    <w:multiLevelType w:val="hybridMultilevel"/>
    <w:tmpl w:val="EA1006CE"/>
    <w:lvl w:ilvl="0" w:tplc="723A98B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B2C15"/>
    <w:multiLevelType w:val="hybridMultilevel"/>
    <w:tmpl w:val="59661F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9C040A6"/>
    <w:multiLevelType w:val="hybridMultilevel"/>
    <w:tmpl w:val="0CCC3442"/>
    <w:lvl w:ilvl="0" w:tplc="403ED438">
      <w:numFmt w:val="bullet"/>
      <w:lvlText w:val=""/>
      <w:lvlJc w:val="left"/>
      <w:pPr>
        <w:tabs>
          <w:tab w:val="num" w:pos="720"/>
        </w:tabs>
        <w:ind w:left="720" w:hanging="360"/>
      </w:pPr>
      <w:rPr>
        <w:rFonts w:ascii="Symbol" w:eastAsia="Times New Roman" w:hAnsi="Symbol" w:cs="Wingdings" w:hint="default"/>
      </w:rPr>
    </w:lvl>
    <w:lvl w:ilvl="1" w:tplc="08090003">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55C7F"/>
    <w:multiLevelType w:val="hybridMultilevel"/>
    <w:tmpl w:val="1B54B6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74973"/>
    <w:multiLevelType w:val="hybridMultilevel"/>
    <w:tmpl w:val="C032E3D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8" w15:restartNumberingAfterBreak="0">
    <w:nsid w:val="70320C04"/>
    <w:multiLevelType w:val="hybridMultilevel"/>
    <w:tmpl w:val="7B026B76"/>
    <w:lvl w:ilvl="0" w:tplc="13981682">
      <w:start w:val="1"/>
      <w:numFmt w:val="lowerRoman"/>
      <w:lvlText w:val="(%1)"/>
      <w:lvlJc w:val="left"/>
      <w:pPr>
        <w:ind w:left="720" w:hanging="360"/>
      </w:pPr>
      <w:rPr>
        <w:rFonts w:ascii="Garamond" w:eastAsia="Calibri" w:hAnsi="Garamond"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3441">
    <w:abstractNumId w:val="11"/>
  </w:num>
  <w:num w:numId="2" w16cid:durableId="1756129139">
    <w:abstractNumId w:val="25"/>
  </w:num>
  <w:num w:numId="3" w16cid:durableId="1884782317">
    <w:abstractNumId w:val="28"/>
  </w:num>
  <w:num w:numId="4" w16cid:durableId="2067872386">
    <w:abstractNumId w:val="9"/>
  </w:num>
  <w:num w:numId="5" w16cid:durableId="25566061">
    <w:abstractNumId w:val="22"/>
  </w:num>
  <w:num w:numId="6" w16cid:durableId="1508593868">
    <w:abstractNumId w:val="2"/>
  </w:num>
  <w:num w:numId="7" w16cid:durableId="1624724417">
    <w:abstractNumId w:val="26"/>
  </w:num>
  <w:num w:numId="8" w16cid:durableId="818695485">
    <w:abstractNumId w:val="24"/>
  </w:num>
  <w:num w:numId="9" w16cid:durableId="1375886951">
    <w:abstractNumId w:val="6"/>
  </w:num>
  <w:num w:numId="10" w16cid:durableId="546529576">
    <w:abstractNumId w:val="23"/>
  </w:num>
  <w:num w:numId="11" w16cid:durableId="1373383350">
    <w:abstractNumId w:val="5"/>
  </w:num>
  <w:num w:numId="12" w16cid:durableId="1604217286">
    <w:abstractNumId w:val="18"/>
  </w:num>
  <w:num w:numId="13" w16cid:durableId="1313289939">
    <w:abstractNumId w:val="10"/>
  </w:num>
  <w:num w:numId="14" w16cid:durableId="243615983">
    <w:abstractNumId w:val="21"/>
  </w:num>
  <w:num w:numId="15" w16cid:durableId="224993337">
    <w:abstractNumId w:val="14"/>
  </w:num>
  <w:num w:numId="16" w16cid:durableId="1538346646">
    <w:abstractNumId w:val="1"/>
  </w:num>
  <w:num w:numId="17" w16cid:durableId="12902811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305938189">
    <w:abstractNumId w:val="7"/>
  </w:num>
  <w:num w:numId="19" w16cid:durableId="146943506">
    <w:abstractNumId w:val="16"/>
  </w:num>
  <w:num w:numId="20" w16cid:durableId="883374688">
    <w:abstractNumId w:val="4"/>
  </w:num>
  <w:num w:numId="21" w16cid:durableId="1236159242">
    <w:abstractNumId w:val="12"/>
  </w:num>
  <w:num w:numId="22" w16cid:durableId="248150753">
    <w:abstractNumId w:val="27"/>
  </w:num>
  <w:num w:numId="23" w16cid:durableId="2081059272">
    <w:abstractNumId w:val="3"/>
  </w:num>
  <w:num w:numId="24" w16cid:durableId="1621301604">
    <w:abstractNumId w:val="13"/>
  </w:num>
  <w:num w:numId="25" w16cid:durableId="401947863">
    <w:abstractNumId w:val="20"/>
  </w:num>
  <w:num w:numId="26" w16cid:durableId="2038117734">
    <w:abstractNumId w:val="17"/>
  </w:num>
  <w:num w:numId="27" w16cid:durableId="314383976">
    <w:abstractNumId w:val="15"/>
  </w:num>
  <w:num w:numId="28" w16cid:durableId="613246854">
    <w:abstractNumId w:val="8"/>
  </w:num>
  <w:num w:numId="29" w16cid:durableId="58198963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ZA"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MA"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86"/>
    <w:rsid w:val="00002B36"/>
    <w:rsid w:val="000173BB"/>
    <w:rsid w:val="00023F7A"/>
    <w:rsid w:val="00034256"/>
    <w:rsid w:val="0004780C"/>
    <w:rsid w:val="000542A6"/>
    <w:rsid w:val="000610BE"/>
    <w:rsid w:val="00092D26"/>
    <w:rsid w:val="000F6AFB"/>
    <w:rsid w:val="0010208A"/>
    <w:rsid w:val="00121E21"/>
    <w:rsid w:val="001560F5"/>
    <w:rsid w:val="001A0E6E"/>
    <w:rsid w:val="001B233C"/>
    <w:rsid w:val="001B6017"/>
    <w:rsid w:val="001E31DB"/>
    <w:rsid w:val="001F330E"/>
    <w:rsid w:val="0021340B"/>
    <w:rsid w:val="00225F42"/>
    <w:rsid w:val="00231D52"/>
    <w:rsid w:val="00235C83"/>
    <w:rsid w:val="002453B9"/>
    <w:rsid w:val="00252C63"/>
    <w:rsid w:val="00260BD5"/>
    <w:rsid w:val="00263254"/>
    <w:rsid w:val="00266905"/>
    <w:rsid w:val="00271284"/>
    <w:rsid w:val="00284B01"/>
    <w:rsid w:val="00284C59"/>
    <w:rsid w:val="002866ED"/>
    <w:rsid w:val="002C586A"/>
    <w:rsid w:val="002C6305"/>
    <w:rsid w:val="002D5C1C"/>
    <w:rsid w:val="002E0A80"/>
    <w:rsid w:val="002E135D"/>
    <w:rsid w:val="0030478D"/>
    <w:rsid w:val="003232C3"/>
    <w:rsid w:val="0033074D"/>
    <w:rsid w:val="003533D0"/>
    <w:rsid w:val="00363176"/>
    <w:rsid w:val="00364DC0"/>
    <w:rsid w:val="00392331"/>
    <w:rsid w:val="003964CA"/>
    <w:rsid w:val="003A335E"/>
    <w:rsid w:val="003B13B2"/>
    <w:rsid w:val="003B1DC9"/>
    <w:rsid w:val="003C144C"/>
    <w:rsid w:val="003D6D2A"/>
    <w:rsid w:val="003E103D"/>
    <w:rsid w:val="003E6C06"/>
    <w:rsid w:val="003F03F2"/>
    <w:rsid w:val="003F7EEF"/>
    <w:rsid w:val="00403ED7"/>
    <w:rsid w:val="00414900"/>
    <w:rsid w:val="004310F6"/>
    <w:rsid w:val="00466B6D"/>
    <w:rsid w:val="004B5AAC"/>
    <w:rsid w:val="004C733B"/>
    <w:rsid w:val="004E0E2A"/>
    <w:rsid w:val="00503D23"/>
    <w:rsid w:val="0054685D"/>
    <w:rsid w:val="005A03A7"/>
    <w:rsid w:val="005A6E55"/>
    <w:rsid w:val="005C2186"/>
    <w:rsid w:val="005C3127"/>
    <w:rsid w:val="005D5927"/>
    <w:rsid w:val="005D6878"/>
    <w:rsid w:val="005F7594"/>
    <w:rsid w:val="00610050"/>
    <w:rsid w:val="0061072B"/>
    <w:rsid w:val="00615B0A"/>
    <w:rsid w:val="00616B8B"/>
    <w:rsid w:val="00621560"/>
    <w:rsid w:val="00625E13"/>
    <w:rsid w:val="00627256"/>
    <w:rsid w:val="00630283"/>
    <w:rsid w:val="00632625"/>
    <w:rsid w:val="00633AE5"/>
    <w:rsid w:val="00654C5B"/>
    <w:rsid w:val="00664CA7"/>
    <w:rsid w:val="00690F2A"/>
    <w:rsid w:val="006B5ECD"/>
    <w:rsid w:val="006E2371"/>
    <w:rsid w:val="006E4DDC"/>
    <w:rsid w:val="006F1A54"/>
    <w:rsid w:val="006F7AA1"/>
    <w:rsid w:val="00701A1C"/>
    <w:rsid w:val="00722FAE"/>
    <w:rsid w:val="0073342A"/>
    <w:rsid w:val="00745F58"/>
    <w:rsid w:val="00755F89"/>
    <w:rsid w:val="007738C4"/>
    <w:rsid w:val="00792D1A"/>
    <w:rsid w:val="0079517F"/>
    <w:rsid w:val="007C370B"/>
    <w:rsid w:val="007C514A"/>
    <w:rsid w:val="007E6B7F"/>
    <w:rsid w:val="00805A03"/>
    <w:rsid w:val="008116C9"/>
    <w:rsid w:val="00852C46"/>
    <w:rsid w:val="00880305"/>
    <w:rsid w:val="00894AF6"/>
    <w:rsid w:val="008A4696"/>
    <w:rsid w:val="008B4AA8"/>
    <w:rsid w:val="008C47D7"/>
    <w:rsid w:val="008F41EB"/>
    <w:rsid w:val="00902F1E"/>
    <w:rsid w:val="00902F2D"/>
    <w:rsid w:val="00906650"/>
    <w:rsid w:val="0091681B"/>
    <w:rsid w:val="00941C04"/>
    <w:rsid w:val="00987848"/>
    <w:rsid w:val="00994A16"/>
    <w:rsid w:val="009B019A"/>
    <w:rsid w:val="009B4139"/>
    <w:rsid w:val="009D6468"/>
    <w:rsid w:val="009D671D"/>
    <w:rsid w:val="009D70DA"/>
    <w:rsid w:val="009D70F2"/>
    <w:rsid w:val="00A2647D"/>
    <w:rsid w:val="00A31634"/>
    <w:rsid w:val="00A46623"/>
    <w:rsid w:val="00A51349"/>
    <w:rsid w:val="00A753CA"/>
    <w:rsid w:val="00A767B8"/>
    <w:rsid w:val="00A77F1E"/>
    <w:rsid w:val="00A97167"/>
    <w:rsid w:val="00AA4A09"/>
    <w:rsid w:val="00AE2F12"/>
    <w:rsid w:val="00AF7284"/>
    <w:rsid w:val="00B0549A"/>
    <w:rsid w:val="00B15618"/>
    <w:rsid w:val="00B26963"/>
    <w:rsid w:val="00B50A70"/>
    <w:rsid w:val="00B5391D"/>
    <w:rsid w:val="00B55040"/>
    <w:rsid w:val="00B65447"/>
    <w:rsid w:val="00B709B8"/>
    <w:rsid w:val="00B71092"/>
    <w:rsid w:val="00B7345C"/>
    <w:rsid w:val="00B85182"/>
    <w:rsid w:val="00B869B1"/>
    <w:rsid w:val="00BA6CE3"/>
    <w:rsid w:val="00BE0BE9"/>
    <w:rsid w:val="00C0354B"/>
    <w:rsid w:val="00C03BD5"/>
    <w:rsid w:val="00C11F13"/>
    <w:rsid w:val="00C61F88"/>
    <w:rsid w:val="00C62970"/>
    <w:rsid w:val="00CC5791"/>
    <w:rsid w:val="00CD16D0"/>
    <w:rsid w:val="00CE1BD9"/>
    <w:rsid w:val="00D14547"/>
    <w:rsid w:val="00D15422"/>
    <w:rsid w:val="00D42A0C"/>
    <w:rsid w:val="00D43766"/>
    <w:rsid w:val="00D51460"/>
    <w:rsid w:val="00D829D9"/>
    <w:rsid w:val="00DC3906"/>
    <w:rsid w:val="00DC5229"/>
    <w:rsid w:val="00DD068E"/>
    <w:rsid w:val="00DE4140"/>
    <w:rsid w:val="00DF35C6"/>
    <w:rsid w:val="00E124B7"/>
    <w:rsid w:val="00E2305B"/>
    <w:rsid w:val="00E24FB4"/>
    <w:rsid w:val="00E254EB"/>
    <w:rsid w:val="00E4106A"/>
    <w:rsid w:val="00E75267"/>
    <w:rsid w:val="00E75623"/>
    <w:rsid w:val="00E921F4"/>
    <w:rsid w:val="00EB62B8"/>
    <w:rsid w:val="00EC19E7"/>
    <w:rsid w:val="00ED3409"/>
    <w:rsid w:val="00ED3CBD"/>
    <w:rsid w:val="00EE6ADB"/>
    <w:rsid w:val="00EF1E57"/>
    <w:rsid w:val="00F00CC4"/>
    <w:rsid w:val="00F336CC"/>
    <w:rsid w:val="00F46888"/>
    <w:rsid w:val="00F66A04"/>
    <w:rsid w:val="00F8547E"/>
    <w:rsid w:val="00FA1AF2"/>
    <w:rsid w:val="00FA39E5"/>
    <w:rsid w:val="00FE0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28BA"/>
  <w15:docId w15:val="{AEBAE1C6-4844-4734-B860-048856CB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86"/>
    <w:pPr>
      <w:spacing w:after="0" w:line="240" w:lineRule="auto"/>
    </w:pPr>
    <w:rPr>
      <w:lang w:val="en-US"/>
    </w:rPr>
  </w:style>
  <w:style w:type="paragraph" w:styleId="Titre1">
    <w:name w:val="heading 1"/>
    <w:basedOn w:val="Normal"/>
    <w:next w:val="Normal"/>
    <w:link w:val="Titre1Car"/>
    <w:uiPriority w:val="9"/>
    <w:qFormat/>
    <w:rsid w:val="005C21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2186"/>
    <w:rPr>
      <w:rFonts w:asciiTheme="majorHAnsi" w:eastAsiaTheme="majorEastAsia" w:hAnsiTheme="majorHAnsi" w:cstheme="majorBidi"/>
      <w:color w:val="2E74B5" w:themeColor="accent1" w:themeShade="BF"/>
      <w:sz w:val="32"/>
      <w:szCs w:val="32"/>
      <w:lang w:val="en-US"/>
    </w:rPr>
  </w:style>
  <w:style w:type="paragraph" w:styleId="Paragraphedeliste">
    <w:name w:val="List Paragraph"/>
    <w:aliases w:val="List Paragraph (numbered (a)),Paragraphe de liste du rapport,Table of contents numbered,List ParagraphCxSpLast,List ParagraphCxSpLastCxSpLast,List ParagraphCxSpLastCxSpLastCxSpLast,Bullets,References,List Paragraph2,Citation List,U 5"/>
    <w:basedOn w:val="Normal"/>
    <w:link w:val="ParagraphedelisteCar"/>
    <w:uiPriority w:val="34"/>
    <w:qFormat/>
    <w:rsid w:val="005C2186"/>
    <w:pPr>
      <w:ind w:left="720"/>
      <w:contextualSpacing/>
    </w:pPr>
  </w:style>
  <w:style w:type="character" w:styleId="lev">
    <w:name w:val="Strong"/>
    <w:basedOn w:val="Policepardfaut"/>
    <w:uiPriority w:val="22"/>
    <w:qFormat/>
    <w:rsid w:val="005C2186"/>
    <w:rPr>
      <w:b/>
      <w:bCs/>
    </w:rPr>
  </w:style>
  <w:style w:type="character" w:customStyle="1" w:styleId="ParagraphedelisteCar">
    <w:name w:val="Paragraphe de liste Car"/>
    <w:aliases w:val="List Paragraph (numbered (a)) Car,Paragraphe de liste du rapport Car,Table of contents numbered Car,List ParagraphCxSpLast Car,List ParagraphCxSpLastCxSpLast Car,List ParagraphCxSpLastCxSpLastCxSpLast Car,Bullets Car,U 5 Car"/>
    <w:link w:val="Paragraphedeliste"/>
    <w:uiPriority w:val="34"/>
    <w:qFormat/>
    <w:locked/>
    <w:rsid w:val="005C2186"/>
    <w:rPr>
      <w:lang w:val="en-US"/>
    </w:rPr>
  </w:style>
  <w:style w:type="character" w:styleId="Appelnotedebasdep">
    <w:name w:val="footnote reference"/>
    <w:aliases w:val="ftref,Footnote Reference Number,BVI fnr,Error-Fußnotenzeichen5,Error-Fußnotenzeichen6,Error-Fußnotenzeichen3,Footnote Reference1,Error-Fu?notenzeichen5,Error-Fu?notenzeichen6,Error-Fu?notenzeichen3,referencia nota al pie,fr,R,Ref"/>
    <w:link w:val="Char2"/>
    <w:qFormat/>
    <w:rsid w:val="0061072B"/>
    <w:rPr>
      <w:rFonts w:cs="Times New Roman"/>
      <w:vertAlign w:val="superscript"/>
    </w:rPr>
  </w:style>
  <w:style w:type="paragraph" w:styleId="Notedebasdepage">
    <w:name w:val="footnote text"/>
    <w:aliases w:val="single space,FOOTNOTES,fn,ft,ADB,single space1,footnote text1,FOOTNOTES1,fn1,ADB1,single space2,footnote text2,FOOTNOTES2,fn2,ADB2,single space3,footnote text3,FOOTNOTES3,fn3,ADB3,Fodnotetekst Tegn,Char,WB-Fußnotentext,footnote text"/>
    <w:basedOn w:val="Normal"/>
    <w:link w:val="NotedebasdepageCar"/>
    <w:uiPriority w:val="99"/>
    <w:rsid w:val="0061072B"/>
    <w:rPr>
      <w:rFonts w:ascii="Times New Roman" w:eastAsia="Calibri" w:hAnsi="Times New Roman" w:cs="Times New Roman"/>
      <w:sz w:val="24"/>
      <w:szCs w:val="24"/>
      <w:lang w:eastAsia="de-DE"/>
    </w:rPr>
  </w:style>
  <w:style w:type="character" w:customStyle="1" w:styleId="NotedebasdepageCar">
    <w:name w:val="Note de bas de page Car"/>
    <w:aliases w:val="single space Car,FOOTNOTES Car,fn Car,ft Car,ADB Car,single space1 Car,footnote text1 Car,FOOTNOTES1 Car,fn1 Car,ADB1 Car,single space2 Car,footnote text2 Car,FOOTNOTES2 Car,fn2 Car,ADB2 Car,single space3 Car,footnote text3 Car"/>
    <w:basedOn w:val="Policepardfaut"/>
    <w:link w:val="Notedebasdepage"/>
    <w:uiPriority w:val="99"/>
    <w:rsid w:val="0061072B"/>
    <w:rPr>
      <w:rFonts w:ascii="Times New Roman" w:eastAsia="Calibri" w:hAnsi="Times New Roman" w:cs="Times New Roman"/>
      <w:sz w:val="24"/>
      <w:szCs w:val="24"/>
      <w:lang w:val="en-US" w:eastAsia="de-DE"/>
    </w:rPr>
  </w:style>
  <w:style w:type="paragraph" w:customStyle="1" w:styleId="Char2">
    <w:name w:val="Char2"/>
    <w:basedOn w:val="Normal"/>
    <w:link w:val="Appelnotedebasdep"/>
    <w:rsid w:val="0061072B"/>
    <w:pPr>
      <w:spacing w:after="160" w:line="240" w:lineRule="exact"/>
    </w:pPr>
    <w:rPr>
      <w:rFonts w:cs="Times New Roman"/>
      <w:vertAlign w:val="superscript"/>
      <w:lang w:val="en-GB"/>
    </w:rPr>
  </w:style>
  <w:style w:type="character" w:styleId="Lienhypertexte">
    <w:name w:val="Hyperlink"/>
    <w:uiPriority w:val="99"/>
    <w:rsid w:val="00D15422"/>
    <w:rPr>
      <w:color w:val="0000FF"/>
      <w:u w:val="single"/>
    </w:rPr>
  </w:style>
  <w:style w:type="paragraph" w:customStyle="1" w:styleId="Default">
    <w:name w:val="Default"/>
    <w:rsid w:val="0073342A"/>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33074D"/>
    <w:rPr>
      <w:sz w:val="16"/>
      <w:szCs w:val="16"/>
    </w:rPr>
  </w:style>
  <w:style w:type="paragraph" w:styleId="Commentaire">
    <w:name w:val="annotation text"/>
    <w:basedOn w:val="Normal"/>
    <w:link w:val="CommentaireCar"/>
    <w:uiPriority w:val="99"/>
    <w:semiHidden/>
    <w:unhideWhenUsed/>
    <w:rsid w:val="0033074D"/>
    <w:rPr>
      <w:sz w:val="20"/>
      <w:szCs w:val="20"/>
    </w:rPr>
  </w:style>
  <w:style w:type="character" w:customStyle="1" w:styleId="CommentaireCar">
    <w:name w:val="Commentaire Car"/>
    <w:basedOn w:val="Policepardfaut"/>
    <w:link w:val="Commentaire"/>
    <w:uiPriority w:val="99"/>
    <w:semiHidden/>
    <w:rsid w:val="0033074D"/>
    <w:rPr>
      <w:sz w:val="20"/>
      <w:szCs w:val="20"/>
      <w:lang w:val="en-US"/>
    </w:rPr>
  </w:style>
  <w:style w:type="paragraph" w:styleId="Objetducommentaire">
    <w:name w:val="annotation subject"/>
    <w:basedOn w:val="Commentaire"/>
    <w:next w:val="Commentaire"/>
    <w:link w:val="ObjetducommentaireCar"/>
    <w:uiPriority w:val="99"/>
    <w:semiHidden/>
    <w:unhideWhenUsed/>
    <w:rsid w:val="0033074D"/>
    <w:rPr>
      <w:b/>
      <w:bCs/>
    </w:rPr>
  </w:style>
  <w:style w:type="character" w:customStyle="1" w:styleId="ObjetducommentaireCar">
    <w:name w:val="Objet du commentaire Car"/>
    <w:basedOn w:val="CommentaireCar"/>
    <w:link w:val="Objetducommentaire"/>
    <w:uiPriority w:val="99"/>
    <w:semiHidden/>
    <w:rsid w:val="0033074D"/>
    <w:rPr>
      <w:b/>
      <w:bCs/>
      <w:sz w:val="20"/>
      <w:szCs w:val="20"/>
      <w:lang w:val="en-US"/>
    </w:rPr>
  </w:style>
  <w:style w:type="paragraph" w:styleId="Textedebulles">
    <w:name w:val="Balloon Text"/>
    <w:basedOn w:val="Normal"/>
    <w:link w:val="TextedebullesCar"/>
    <w:uiPriority w:val="99"/>
    <w:semiHidden/>
    <w:unhideWhenUsed/>
    <w:rsid w:val="003307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74D"/>
    <w:rPr>
      <w:rFonts w:ascii="Segoe UI" w:hAnsi="Segoe UI" w:cs="Segoe UI"/>
      <w:sz w:val="18"/>
      <w:szCs w:val="18"/>
      <w:lang w:val="en-US"/>
    </w:rPr>
  </w:style>
  <w:style w:type="paragraph" w:customStyle="1" w:styleId="BodyText1">
    <w:name w:val="Body Text1"/>
    <w:basedOn w:val="Normal"/>
    <w:qFormat/>
    <w:rsid w:val="00625E13"/>
    <w:pPr>
      <w:spacing w:after="240"/>
      <w:ind w:left="1134" w:firstLine="454"/>
      <w:jc w:val="both"/>
    </w:pPr>
    <w:rPr>
      <w:rFonts w:ascii="Times New Roman" w:eastAsia="Times New Roman" w:hAnsi="Times New Roman" w:cs="Times New Roman"/>
      <w:szCs w:val="24"/>
      <w:lang w:val="fr-FR"/>
    </w:rPr>
  </w:style>
  <w:style w:type="paragraph" w:customStyle="1" w:styleId="CharCharCharCharCharCharCharCharCharCharChar">
    <w:name w:val="Char Char Char Char Char Char Знак Знак Char Знак Знак Char Char Char Char Знак Знак Знак"/>
    <w:basedOn w:val="Normal"/>
    <w:rsid w:val="004310F6"/>
    <w:pPr>
      <w:spacing w:after="160" w:line="240" w:lineRule="exact"/>
    </w:pPr>
    <w:rPr>
      <w:rFonts w:ascii="Verdana" w:eastAsia="Times New Roman" w:hAnsi="Verdana" w:cs="Verdana"/>
      <w:sz w:val="20"/>
      <w:szCs w:val="20"/>
    </w:rPr>
  </w:style>
  <w:style w:type="paragraph" w:customStyle="1" w:styleId="Level1">
    <w:name w:val="Level 1"/>
    <w:basedOn w:val="Normal"/>
    <w:rsid w:val="000F6AFB"/>
    <w:pPr>
      <w:widowControl w:val="0"/>
      <w:numPr>
        <w:numId w:val="17"/>
      </w:numPr>
      <w:autoSpaceDE w:val="0"/>
      <w:autoSpaceDN w:val="0"/>
      <w:adjustRightInd w:val="0"/>
      <w:ind w:left="720" w:right="-873" w:hanging="720"/>
      <w:outlineLvl w:val="0"/>
    </w:pPr>
    <w:rPr>
      <w:rFonts w:ascii="Times New Roman" w:eastAsia="Times New Roman" w:hAnsi="Times New Roman" w:cs="Times New Roman"/>
      <w:sz w:val="20"/>
      <w:szCs w:val="24"/>
    </w:rPr>
  </w:style>
  <w:style w:type="paragraph" w:styleId="Rvision">
    <w:name w:val="Revision"/>
    <w:hidden/>
    <w:uiPriority w:val="99"/>
    <w:semiHidden/>
    <w:rsid w:val="00B709B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31">
      <w:bodyDiv w:val="1"/>
      <w:marLeft w:val="0"/>
      <w:marRight w:val="0"/>
      <w:marTop w:val="0"/>
      <w:marBottom w:val="0"/>
      <w:divBdr>
        <w:top w:val="none" w:sz="0" w:space="0" w:color="auto"/>
        <w:left w:val="none" w:sz="0" w:space="0" w:color="auto"/>
        <w:bottom w:val="none" w:sz="0" w:space="0" w:color="auto"/>
        <w:right w:val="none" w:sz="0" w:space="0" w:color="auto"/>
      </w:divBdr>
    </w:div>
    <w:div w:id="242643219">
      <w:bodyDiv w:val="1"/>
      <w:marLeft w:val="0"/>
      <w:marRight w:val="0"/>
      <w:marTop w:val="0"/>
      <w:marBottom w:val="0"/>
      <w:divBdr>
        <w:top w:val="none" w:sz="0" w:space="0" w:color="auto"/>
        <w:left w:val="none" w:sz="0" w:space="0" w:color="auto"/>
        <w:bottom w:val="none" w:sz="0" w:space="0" w:color="auto"/>
        <w:right w:val="none" w:sz="0" w:space="0" w:color="auto"/>
      </w:divBdr>
    </w:div>
    <w:div w:id="528837169">
      <w:bodyDiv w:val="1"/>
      <w:marLeft w:val="0"/>
      <w:marRight w:val="0"/>
      <w:marTop w:val="0"/>
      <w:marBottom w:val="0"/>
      <w:divBdr>
        <w:top w:val="none" w:sz="0" w:space="0" w:color="auto"/>
        <w:left w:val="none" w:sz="0" w:space="0" w:color="auto"/>
        <w:bottom w:val="none" w:sz="0" w:space="0" w:color="auto"/>
        <w:right w:val="none" w:sz="0" w:space="0" w:color="auto"/>
      </w:divBdr>
    </w:div>
    <w:div w:id="602687946">
      <w:bodyDiv w:val="1"/>
      <w:marLeft w:val="0"/>
      <w:marRight w:val="0"/>
      <w:marTop w:val="0"/>
      <w:marBottom w:val="0"/>
      <w:divBdr>
        <w:top w:val="none" w:sz="0" w:space="0" w:color="auto"/>
        <w:left w:val="none" w:sz="0" w:space="0" w:color="auto"/>
        <w:bottom w:val="none" w:sz="0" w:space="0" w:color="auto"/>
        <w:right w:val="none" w:sz="0" w:space="0" w:color="auto"/>
      </w:divBdr>
    </w:div>
    <w:div w:id="943536021">
      <w:bodyDiv w:val="1"/>
      <w:marLeft w:val="0"/>
      <w:marRight w:val="0"/>
      <w:marTop w:val="0"/>
      <w:marBottom w:val="0"/>
      <w:divBdr>
        <w:top w:val="none" w:sz="0" w:space="0" w:color="auto"/>
        <w:left w:val="none" w:sz="0" w:space="0" w:color="auto"/>
        <w:bottom w:val="none" w:sz="0" w:space="0" w:color="auto"/>
        <w:right w:val="none" w:sz="0" w:space="0" w:color="auto"/>
      </w:divBdr>
    </w:div>
    <w:div w:id="1261792312">
      <w:bodyDiv w:val="1"/>
      <w:marLeft w:val="0"/>
      <w:marRight w:val="0"/>
      <w:marTop w:val="0"/>
      <w:marBottom w:val="0"/>
      <w:divBdr>
        <w:top w:val="none" w:sz="0" w:space="0" w:color="auto"/>
        <w:left w:val="none" w:sz="0" w:space="0" w:color="auto"/>
        <w:bottom w:val="none" w:sz="0" w:space="0" w:color="auto"/>
        <w:right w:val="none" w:sz="0" w:space="0" w:color="auto"/>
      </w:divBdr>
    </w:div>
    <w:div w:id="1348291068">
      <w:bodyDiv w:val="1"/>
      <w:marLeft w:val="0"/>
      <w:marRight w:val="0"/>
      <w:marTop w:val="0"/>
      <w:marBottom w:val="0"/>
      <w:divBdr>
        <w:top w:val="none" w:sz="0" w:space="0" w:color="auto"/>
        <w:left w:val="none" w:sz="0" w:space="0" w:color="auto"/>
        <w:bottom w:val="none" w:sz="0" w:space="0" w:color="auto"/>
        <w:right w:val="none" w:sz="0" w:space="0" w:color="auto"/>
      </w:divBdr>
    </w:div>
    <w:div w:id="1358002681">
      <w:bodyDiv w:val="1"/>
      <w:marLeft w:val="0"/>
      <w:marRight w:val="0"/>
      <w:marTop w:val="0"/>
      <w:marBottom w:val="0"/>
      <w:divBdr>
        <w:top w:val="none" w:sz="0" w:space="0" w:color="auto"/>
        <w:left w:val="none" w:sz="0" w:space="0" w:color="auto"/>
        <w:bottom w:val="none" w:sz="0" w:space="0" w:color="auto"/>
        <w:right w:val="none" w:sz="0" w:space="0" w:color="auto"/>
      </w:divBdr>
    </w:div>
    <w:div w:id="19797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ne@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D'Achon, Eléonore</dc:creator>
  <cp:keywords/>
  <dc:description/>
  <cp:lastModifiedBy>Hannane, Jihane</cp:lastModifiedBy>
  <cp:revision>4</cp:revision>
  <dcterms:created xsi:type="dcterms:W3CDTF">2023-06-05T13:29:00Z</dcterms:created>
  <dcterms:modified xsi:type="dcterms:W3CDTF">2023-06-05T13:30:00Z</dcterms:modified>
</cp:coreProperties>
</file>